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E9450">
      <w:pPr>
        <w:spacing w:line="360" w:lineRule="auto"/>
        <w:jc w:val="center"/>
        <w:rPr>
          <w:rFonts w:ascii="仿宋" w:hAnsi="仿宋" w:eastAsia="仿宋" w:cs="仿宋"/>
          <w:b/>
          <w:bCs/>
          <w:color w:val="FF0000"/>
          <w:sz w:val="72"/>
          <w:szCs w:val="72"/>
        </w:rPr>
      </w:pPr>
    </w:p>
    <w:p w14:paraId="48672BAB">
      <w:pPr>
        <w:spacing w:line="360" w:lineRule="auto"/>
        <w:jc w:val="center"/>
        <w:rPr>
          <w:rFonts w:ascii="仿宋" w:hAnsi="仿宋" w:eastAsia="仿宋" w:cs="仿宋"/>
          <w:b/>
          <w:bCs/>
          <w:color w:val="FF0000"/>
          <w:sz w:val="72"/>
          <w:szCs w:val="72"/>
        </w:rPr>
      </w:pPr>
    </w:p>
    <w:p w14:paraId="7FE21911">
      <w:pPr>
        <w:spacing w:line="360" w:lineRule="auto"/>
        <w:jc w:val="center"/>
        <w:rPr>
          <w:rFonts w:hint="eastAsia" w:ascii="仿宋" w:hAnsi="仿宋" w:eastAsia="仿宋" w:cs="仿宋"/>
          <w:b/>
          <w:bCs/>
          <w:color w:val="FF0000"/>
          <w:sz w:val="68"/>
          <w:szCs w:val="68"/>
          <w:lang w:val="en-US" w:eastAsia="zh-CN"/>
        </w:rPr>
      </w:pPr>
      <w:r>
        <w:rPr>
          <w:rFonts w:hint="eastAsia" w:ascii="仿宋" w:hAnsi="仿宋" w:eastAsia="仿宋" w:cs="仿宋"/>
          <w:b/>
          <w:bCs/>
          <w:color w:val="FF0000"/>
          <w:sz w:val="68"/>
          <w:szCs w:val="68"/>
          <w:lang w:val="en-US" w:eastAsia="zh-CN"/>
        </w:rPr>
        <w:t>海珠大戏院升级改造</w:t>
      </w:r>
    </w:p>
    <w:p w14:paraId="361621CE">
      <w:pPr>
        <w:spacing w:line="360" w:lineRule="auto"/>
        <w:jc w:val="center"/>
        <w:rPr>
          <w:rFonts w:ascii="仿宋" w:hAnsi="仿宋" w:eastAsia="仿宋" w:cs="仿宋"/>
          <w:b/>
          <w:bCs/>
          <w:color w:val="FF0000"/>
          <w:sz w:val="68"/>
          <w:szCs w:val="68"/>
        </w:rPr>
      </w:pPr>
      <w:r>
        <w:rPr>
          <w:rFonts w:hint="eastAsia" w:ascii="仿宋" w:hAnsi="仿宋" w:eastAsia="仿宋" w:cs="仿宋"/>
          <w:b/>
          <w:bCs/>
          <w:color w:val="FF0000"/>
          <w:sz w:val="68"/>
          <w:szCs w:val="68"/>
          <w:lang w:val="en-US" w:eastAsia="zh-CN"/>
        </w:rPr>
        <w:t>设计服务</w:t>
      </w:r>
      <w:r>
        <w:rPr>
          <w:rFonts w:hint="eastAsia" w:ascii="仿宋" w:hAnsi="仿宋" w:eastAsia="仿宋" w:cs="仿宋"/>
          <w:b/>
          <w:bCs/>
          <w:color w:val="FF0000"/>
          <w:sz w:val="68"/>
          <w:szCs w:val="68"/>
        </w:rPr>
        <w:t>项目</w:t>
      </w:r>
    </w:p>
    <w:p w14:paraId="7FCC1038">
      <w:pPr>
        <w:spacing w:line="360" w:lineRule="auto"/>
        <w:jc w:val="center"/>
        <w:rPr>
          <w:rFonts w:ascii="仿宋" w:hAnsi="仿宋" w:eastAsia="仿宋" w:cs="仿宋"/>
          <w:b/>
          <w:bCs/>
          <w:sz w:val="72"/>
          <w:szCs w:val="72"/>
        </w:rPr>
      </w:pPr>
      <w:r>
        <w:rPr>
          <w:rFonts w:hint="eastAsia" w:ascii="仿宋" w:hAnsi="仿宋" w:eastAsia="仿宋" w:cs="仿宋"/>
          <w:b/>
          <w:bCs/>
          <w:sz w:val="72"/>
          <w:szCs w:val="72"/>
        </w:rPr>
        <w:t>报价邀请函</w:t>
      </w:r>
    </w:p>
    <w:p w14:paraId="2D5957E0">
      <w:pPr>
        <w:spacing w:line="360" w:lineRule="auto"/>
        <w:jc w:val="center"/>
        <w:rPr>
          <w:rFonts w:ascii="仿宋" w:hAnsi="仿宋" w:eastAsia="仿宋" w:cs="仿宋"/>
          <w:b/>
          <w:bCs/>
          <w:sz w:val="30"/>
          <w:szCs w:val="30"/>
        </w:rPr>
      </w:pPr>
    </w:p>
    <w:p w14:paraId="2C7EADBC">
      <w:pPr>
        <w:spacing w:line="360" w:lineRule="auto"/>
        <w:jc w:val="center"/>
        <w:rPr>
          <w:rFonts w:hint="default" w:ascii="仿宋" w:hAnsi="仿宋" w:eastAsia="仿宋" w:cs="仿宋"/>
          <w:b/>
          <w:bCs/>
          <w:sz w:val="30"/>
          <w:szCs w:val="30"/>
          <w:lang w:val="en-US" w:eastAsia="zh-CN"/>
        </w:rPr>
      </w:pPr>
      <w:r>
        <w:rPr>
          <w:rFonts w:hint="eastAsia" w:ascii="仿宋" w:hAnsi="仿宋" w:eastAsia="仿宋" w:cs="仿宋"/>
          <w:b/>
          <w:bCs/>
          <w:sz w:val="30"/>
          <w:szCs w:val="30"/>
        </w:rPr>
        <w:t>编号：YCDY-20</w:t>
      </w:r>
      <w:r>
        <w:rPr>
          <w:rFonts w:hint="eastAsia" w:ascii="仿宋" w:hAnsi="仿宋" w:eastAsia="仿宋" w:cs="仿宋"/>
          <w:b/>
          <w:bCs/>
          <w:sz w:val="30"/>
          <w:szCs w:val="30"/>
          <w:lang w:val="en-US" w:eastAsia="zh-CN"/>
        </w:rPr>
        <w:t>250117</w:t>
      </w:r>
    </w:p>
    <w:p w14:paraId="3B45BA49">
      <w:pPr>
        <w:spacing w:line="360" w:lineRule="auto"/>
        <w:rPr>
          <w:rFonts w:ascii="仿宋" w:hAnsi="仿宋" w:eastAsia="仿宋" w:cs="仿宋"/>
          <w:b/>
          <w:bCs/>
          <w:sz w:val="30"/>
          <w:szCs w:val="30"/>
        </w:rPr>
      </w:pPr>
    </w:p>
    <w:p w14:paraId="323278BA">
      <w:pPr>
        <w:spacing w:line="360" w:lineRule="auto"/>
        <w:rPr>
          <w:rFonts w:ascii="仿宋" w:hAnsi="仿宋" w:eastAsia="仿宋" w:cs="仿宋"/>
          <w:b/>
          <w:bCs/>
          <w:sz w:val="30"/>
          <w:szCs w:val="30"/>
        </w:rPr>
      </w:pPr>
    </w:p>
    <w:p w14:paraId="3370870A">
      <w:pPr>
        <w:spacing w:line="360" w:lineRule="auto"/>
        <w:rPr>
          <w:rFonts w:ascii="仿宋" w:hAnsi="仿宋" w:eastAsia="仿宋" w:cs="仿宋"/>
          <w:b/>
          <w:bCs/>
          <w:sz w:val="30"/>
          <w:szCs w:val="30"/>
        </w:rPr>
      </w:pPr>
    </w:p>
    <w:p w14:paraId="06C16192">
      <w:pPr>
        <w:spacing w:line="360" w:lineRule="auto"/>
        <w:rPr>
          <w:rFonts w:ascii="仿宋" w:hAnsi="仿宋" w:eastAsia="仿宋" w:cs="仿宋"/>
          <w:b/>
          <w:bCs/>
          <w:sz w:val="30"/>
          <w:szCs w:val="30"/>
        </w:rPr>
      </w:pPr>
    </w:p>
    <w:p w14:paraId="26B64150">
      <w:pPr>
        <w:spacing w:line="360" w:lineRule="auto"/>
        <w:rPr>
          <w:rFonts w:ascii="仿宋" w:hAnsi="仿宋" w:eastAsia="仿宋" w:cs="仿宋"/>
          <w:b/>
          <w:bCs/>
          <w:sz w:val="30"/>
          <w:szCs w:val="30"/>
        </w:rPr>
      </w:pPr>
    </w:p>
    <w:p w14:paraId="343FF827">
      <w:pPr>
        <w:spacing w:line="360" w:lineRule="auto"/>
        <w:rPr>
          <w:rFonts w:ascii="仿宋" w:hAnsi="仿宋" w:eastAsia="仿宋" w:cs="仿宋"/>
          <w:b/>
          <w:bCs/>
          <w:sz w:val="30"/>
          <w:szCs w:val="30"/>
        </w:rPr>
      </w:pPr>
    </w:p>
    <w:p w14:paraId="36E2747C">
      <w:pPr>
        <w:spacing w:line="360" w:lineRule="auto"/>
        <w:rPr>
          <w:rFonts w:ascii="仿宋" w:hAnsi="仿宋" w:eastAsia="仿宋" w:cs="仿宋"/>
          <w:b/>
          <w:bCs/>
          <w:sz w:val="30"/>
          <w:szCs w:val="30"/>
        </w:rPr>
      </w:pPr>
    </w:p>
    <w:p w14:paraId="7394A338">
      <w:pPr>
        <w:spacing w:line="360" w:lineRule="auto"/>
        <w:jc w:val="center"/>
        <w:rPr>
          <w:rFonts w:ascii="仿宋" w:hAnsi="仿宋" w:eastAsia="仿宋" w:cs="仿宋"/>
          <w:b/>
          <w:bCs/>
          <w:sz w:val="30"/>
          <w:szCs w:val="30"/>
        </w:rPr>
      </w:pPr>
      <w:r>
        <w:rPr>
          <w:rFonts w:hint="eastAsia" w:ascii="仿宋" w:hAnsi="仿宋" w:eastAsia="仿宋" w:cs="仿宋"/>
          <w:b/>
          <w:bCs/>
          <w:sz w:val="30"/>
          <w:szCs w:val="30"/>
        </w:rPr>
        <w:t>广州市演出电影有限公司</w:t>
      </w:r>
    </w:p>
    <w:p w14:paraId="2AB05189">
      <w:pPr>
        <w:spacing w:line="360" w:lineRule="auto"/>
        <w:ind w:firstLine="3012" w:firstLineChars="1000"/>
        <w:rPr>
          <w:rFonts w:ascii="仿宋" w:hAnsi="仿宋" w:eastAsia="仿宋" w:cs="仿宋"/>
          <w:b/>
          <w:bCs/>
          <w:sz w:val="30"/>
          <w:szCs w:val="30"/>
        </w:rPr>
      </w:pPr>
      <w:r>
        <w:rPr>
          <w:rFonts w:hint="eastAsia" w:ascii="仿宋" w:hAnsi="仿宋" w:eastAsia="仿宋" w:cs="仿宋"/>
          <w:b/>
          <w:bCs/>
          <w:sz w:val="30"/>
          <w:szCs w:val="30"/>
        </w:rPr>
        <w:t>202</w:t>
      </w:r>
      <w:r>
        <w:rPr>
          <w:rFonts w:hint="eastAsia" w:ascii="仿宋" w:hAnsi="仿宋" w:eastAsia="仿宋" w:cs="仿宋"/>
          <w:b/>
          <w:bCs/>
          <w:sz w:val="30"/>
          <w:szCs w:val="30"/>
          <w:lang w:val="en-US" w:eastAsia="zh-CN"/>
        </w:rPr>
        <w:t>5</w:t>
      </w:r>
      <w:r>
        <w:rPr>
          <w:rFonts w:hint="eastAsia" w:ascii="仿宋" w:hAnsi="仿宋" w:eastAsia="仿宋" w:cs="仿宋"/>
          <w:b/>
          <w:bCs/>
          <w:sz w:val="30"/>
          <w:szCs w:val="30"/>
        </w:rPr>
        <w:t>年</w:t>
      </w:r>
      <w:r>
        <w:rPr>
          <w:rFonts w:hint="eastAsia" w:ascii="仿宋" w:hAnsi="仿宋" w:eastAsia="仿宋" w:cs="仿宋"/>
          <w:b/>
          <w:bCs/>
          <w:sz w:val="30"/>
          <w:szCs w:val="30"/>
          <w:lang w:val="en-US" w:eastAsia="zh-CN"/>
        </w:rPr>
        <w:t xml:space="preserve"> 01 </w:t>
      </w:r>
      <w:r>
        <w:rPr>
          <w:rFonts w:hint="eastAsia" w:ascii="仿宋" w:hAnsi="仿宋" w:eastAsia="仿宋" w:cs="仿宋"/>
          <w:b/>
          <w:bCs/>
          <w:sz w:val="30"/>
          <w:szCs w:val="30"/>
        </w:rPr>
        <w:t>月</w:t>
      </w:r>
      <w:r>
        <w:rPr>
          <w:rFonts w:hint="eastAsia" w:ascii="仿宋" w:hAnsi="仿宋" w:eastAsia="仿宋" w:cs="仿宋"/>
          <w:b/>
          <w:bCs/>
          <w:sz w:val="30"/>
          <w:szCs w:val="30"/>
          <w:lang w:val="en-US" w:eastAsia="zh-CN"/>
        </w:rPr>
        <w:t xml:space="preserve"> 17</w:t>
      </w:r>
      <w:r>
        <w:rPr>
          <w:rFonts w:hint="eastAsia" w:ascii="仿宋" w:hAnsi="仿宋" w:eastAsia="仿宋" w:cs="仿宋"/>
          <w:b/>
          <w:bCs/>
          <w:sz w:val="30"/>
          <w:szCs w:val="30"/>
        </w:rPr>
        <w:t>日</w:t>
      </w:r>
    </w:p>
    <w:p w14:paraId="6CA9AC07">
      <w:pPr>
        <w:pStyle w:val="2"/>
      </w:pPr>
    </w:p>
    <w:p w14:paraId="699DE6CF">
      <w:pPr>
        <w:pStyle w:val="2"/>
      </w:pPr>
    </w:p>
    <w:p w14:paraId="2EE68CF5">
      <w:pPr>
        <w:pStyle w:val="2"/>
        <w:jc w:val="center"/>
      </w:pPr>
    </w:p>
    <w:p w14:paraId="519C6663">
      <w:pPr>
        <w:spacing w:line="360" w:lineRule="auto"/>
        <w:rPr>
          <w:rFonts w:hint="eastAsia" w:asciiTheme="minorEastAsia" w:hAnsiTheme="minorEastAsia" w:eastAsiaTheme="minorEastAsia" w:cstheme="minorEastAsia"/>
          <w:b/>
          <w:bCs/>
          <w:sz w:val="24"/>
          <w:szCs w:val="24"/>
          <w:u w:val="single"/>
        </w:rPr>
      </w:pPr>
    </w:p>
    <w:p w14:paraId="36BCD0C2">
      <w:pPr>
        <w:spacing w:line="360" w:lineRule="auto"/>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u w:val="single"/>
        </w:rPr>
        <w:t xml:space="preserve">                          </w:t>
      </w:r>
      <w:r>
        <w:rPr>
          <w:rFonts w:hint="eastAsia" w:asciiTheme="minorEastAsia" w:hAnsiTheme="minorEastAsia" w:eastAsiaTheme="minorEastAsia" w:cstheme="minorEastAsia"/>
          <w:b/>
          <w:bCs/>
          <w:sz w:val="24"/>
          <w:szCs w:val="24"/>
        </w:rPr>
        <w:t>有限公司：</w:t>
      </w:r>
    </w:p>
    <w:p w14:paraId="1B8BF93D">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海珠大戏院</w:t>
      </w:r>
      <w:r>
        <w:rPr>
          <w:rFonts w:hint="eastAsia" w:asciiTheme="minorEastAsia" w:hAnsiTheme="minorEastAsia" w:eastAsiaTheme="minorEastAsia" w:cstheme="minorEastAsia"/>
          <w:sz w:val="24"/>
          <w:szCs w:val="24"/>
        </w:rPr>
        <w:t>位于广东省</w:t>
      </w:r>
      <w:r>
        <w:rPr>
          <w:rFonts w:hint="default" w:asciiTheme="minorEastAsia" w:hAnsiTheme="minorEastAsia" w:eastAsiaTheme="minorEastAsia" w:cstheme="minorEastAsia"/>
          <w:sz w:val="24"/>
          <w:szCs w:val="24"/>
          <w:lang w:val="en-US" w:eastAsia="zh-CN"/>
        </w:rPr>
        <w:t>广州市越</w:t>
      </w:r>
      <w:r>
        <w:rPr>
          <w:rFonts w:hint="eastAsia" w:asciiTheme="minorEastAsia" w:hAnsiTheme="minorEastAsia" w:eastAsiaTheme="minorEastAsia" w:cstheme="minorEastAsia"/>
          <w:sz w:val="24"/>
          <w:szCs w:val="24"/>
          <w:lang w:val="en-US" w:eastAsia="zh-CN"/>
        </w:rPr>
        <w:t>秀区长堤大马路292号</w:t>
      </w:r>
      <w:r>
        <w:rPr>
          <w:rFonts w:hint="eastAsia" w:asciiTheme="minorEastAsia" w:hAnsiTheme="minorEastAsia" w:eastAsiaTheme="minorEastAsia" w:cstheme="minorEastAsia"/>
          <w:sz w:val="24"/>
          <w:szCs w:val="24"/>
        </w:rPr>
        <w:t>，目前</w:t>
      </w:r>
      <w:r>
        <w:rPr>
          <w:rFonts w:hint="eastAsia" w:asciiTheme="minorEastAsia" w:hAnsiTheme="minorEastAsia" w:eastAsiaTheme="minorEastAsia" w:cstheme="minorEastAsia"/>
          <w:sz w:val="24"/>
          <w:szCs w:val="24"/>
          <w:lang w:val="en-US" w:eastAsia="zh-CN"/>
        </w:rPr>
        <w:t>需要对海珠大戏院进行整体的升级改造</w:t>
      </w:r>
      <w:bookmarkStart w:id="2" w:name="_GoBack"/>
      <w:bookmarkEnd w:id="2"/>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现邀请符合条件的供应商</w:t>
      </w:r>
      <w:r>
        <w:rPr>
          <w:rFonts w:hint="eastAsia" w:asciiTheme="minorEastAsia" w:hAnsiTheme="minorEastAsia" w:eastAsiaTheme="minorEastAsia" w:cstheme="minorEastAsia"/>
          <w:sz w:val="24"/>
          <w:szCs w:val="24"/>
          <w:lang w:val="en-US" w:eastAsia="zh-CN"/>
        </w:rPr>
        <w:t>参加海珠大戏院升级改造设计</w:t>
      </w:r>
      <w:r>
        <w:rPr>
          <w:rFonts w:hint="eastAsia" w:asciiTheme="minorEastAsia" w:hAnsiTheme="minorEastAsia" w:eastAsiaTheme="minorEastAsia" w:cstheme="minorEastAsia"/>
          <w:sz w:val="24"/>
          <w:szCs w:val="24"/>
        </w:rPr>
        <w:t>服务</w:t>
      </w:r>
      <w:r>
        <w:rPr>
          <w:rFonts w:hint="eastAsia" w:asciiTheme="minorEastAsia" w:hAnsiTheme="minorEastAsia" w:eastAsiaTheme="minorEastAsia" w:cstheme="minorEastAsia"/>
          <w:sz w:val="24"/>
          <w:szCs w:val="24"/>
          <w:lang w:val="en-US" w:eastAsia="zh-CN"/>
        </w:rPr>
        <w:t>投标工作</w:t>
      </w:r>
      <w:r>
        <w:rPr>
          <w:rFonts w:hint="eastAsia" w:asciiTheme="minorEastAsia" w:hAnsiTheme="minorEastAsia" w:eastAsiaTheme="minorEastAsia" w:cstheme="minorEastAsia"/>
          <w:sz w:val="24"/>
          <w:szCs w:val="24"/>
        </w:rPr>
        <w:t>。本次提供报价的供应商经广州市演出电影公司审核通过后，将纳入202</w:t>
      </w:r>
      <w:r>
        <w:rPr>
          <w:rFonts w:hint="eastAsia" w:asciiTheme="minorEastAsia" w:hAnsiTheme="minorEastAsia" w:eastAsiaTheme="minorEastAsia" w:cstheme="minorEastAsia"/>
          <w:sz w:val="24"/>
          <w:szCs w:val="24"/>
          <w:lang w:val="en-US" w:eastAsia="zh-CN"/>
        </w:rPr>
        <w:t>5</w:t>
      </w:r>
      <w:r>
        <w:rPr>
          <w:rFonts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年度广州市演出电影有限公司服务供应商库。</w:t>
      </w:r>
    </w:p>
    <w:p w14:paraId="282EC048"/>
    <w:p w14:paraId="4D9C1D12">
      <w:pPr>
        <w:spacing w:line="360" w:lineRule="auto"/>
        <w:outlineLvl w:val="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一、项目信息表</w:t>
      </w:r>
    </w:p>
    <w:p w14:paraId="5F74F0C7"/>
    <w:tbl>
      <w:tblPr>
        <w:tblStyle w:val="8"/>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56A5EE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14:paraId="095AE462">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7283" w:type="dxa"/>
            <w:gridSpan w:val="4"/>
            <w:vAlign w:val="center"/>
          </w:tcPr>
          <w:p w14:paraId="1EB075FC">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海珠大戏院升级改造设计服务项目</w:t>
            </w:r>
          </w:p>
        </w:tc>
      </w:tr>
      <w:tr w14:paraId="37679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F28D944">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项目编号</w:t>
            </w:r>
          </w:p>
        </w:tc>
        <w:tc>
          <w:tcPr>
            <w:tcW w:w="7283" w:type="dxa"/>
            <w:gridSpan w:val="4"/>
            <w:vAlign w:val="center"/>
          </w:tcPr>
          <w:p w14:paraId="41DA3CC8">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YCDY-202</w:t>
            </w:r>
            <w:r>
              <w:rPr>
                <w:rFonts w:hint="eastAsia" w:asciiTheme="minorEastAsia" w:hAnsiTheme="minorEastAsia" w:eastAsiaTheme="minorEastAsia" w:cstheme="minorEastAsia"/>
                <w:sz w:val="24"/>
                <w:szCs w:val="24"/>
                <w:lang w:val="en-US" w:eastAsia="zh-CN"/>
              </w:rPr>
              <w:t>50117</w:t>
            </w:r>
          </w:p>
        </w:tc>
      </w:tr>
      <w:tr w14:paraId="13F51A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6D145CE">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项目地址</w:t>
            </w:r>
          </w:p>
        </w:tc>
        <w:tc>
          <w:tcPr>
            <w:tcW w:w="7283" w:type="dxa"/>
            <w:gridSpan w:val="4"/>
            <w:vAlign w:val="center"/>
          </w:tcPr>
          <w:p w14:paraId="03266241">
            <w:pPr>
              <w:spacing w:line="360" w:lineRule="auto"/>
              <w:rPr>
                <w:rFonts w:asciiTheme="minorEastAsia" w:hAnsiTheme="minorEastAsia" w:eastAsiaTheme="minorEastAsia" w:cstheme="minorEastAsia"/>
                <w:sz w:val="24"/>
                <w:szCs w:val="24"/>
              </w:rPr>
            </w:pPr>
            <w:r>
              <w:rPr>
                <w:rFonts w:hint="default" w:asciiTheme="minorEastAsia" w:hAnsiTheme="minorEastAsia" w:eastAsiaTheme="minorEastAsia" w:cstheme="minorEastAsia"/>
                <w:sz w:val="24"/>
                <w:szCs w:val="24"/>
                <w:lang w:val="en-US" w:eastAsia="zh-CN"/>
              </w:rPr>
              <w:t>广州市越</w:t>
            </w:r>
            <w:r>
              <w:rPr>
                <w:rFonts w:hint="eastAsia" w:asciiTheme="minorEastAsia" w:hAnsiTheme="minorEastAsia" w:eastAsiaTheme="minorEastAsia" w:cstheme="minorEastAsia"/>
                <w:sz w:val="24"/>
                <w:szCs w:val="24"/>
                <w:lang w:val="en-US" w:eastAsia="zh-CN"/>
              </w:rPr>
              <w:t>秀区长堤大马路292号</w:t>
            </w:r>
          </w:p>
        </w:tc>
      </w:tr>
      <w:tr w14:paraId="24E51C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14:paraId="7B1920E6">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1074" w:type="dxa"/>
            <w:vMerge w:val="restart"/>
            <w:vAlign w:val="center"/>
          </w:tcPr>
          <w:p w14:paraId="4B85A772">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叶炳新</w:t>
            </w:r>
          </w:p>
        </w:tc>
        <w:tc>
          <w:tcPr>
            <w:tcW w:w="1436" w:type="dxa"/>
            <w:vAlign w:val="center"/>
          </w:tcPr>
          <w:p w14:paraId="466822FA">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    话</w:t>
            </w:r>
          </w:p>
        </w:tc>
        <w:tc>
          <w:tcPr>
            <w:tcW w:w="4773" w:type="dxa"/>
            <w:gridSpan w:val="2"/>
            <w:vAlign w:val="center"/>
          </w:tcPr>
          <w:p w14:paraId="17BAE9CD">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020-83822108</w:t>
            </w:r>
          </w:p>
        </w:tc>
      </w:tr>
      <w:tr w14:paraId="1B46E2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355929F5">
            <w:pPr>
              <w:spacing w:line="360" w:lineRule="auto"/>
              <w:rPr>
                <w:rFonts w:asciiTheme="minorEastAsia" w:hAnsiTheme="minorEastAsia" w:eastAsiaTheme="minorEastAsia" w:cstheme="minorEastAsia"/>
                <w:sz w:val="24"/>
                <w:szCs w:val="24"/>
              </w:rPr>
            </w:pPr>
          </w:p>
        </w:tc>
        <w:tc>
          <w:tcPr>
            <w:tcW w:w="1074" w:type="dxa"/>
            <w:vMerge w:val="continue"/>
            <w:vAlign w:val="center"/>
          </w:tcPr>
          <w:p w14:paraId="28E41151">
            <w:pPr>
              <w:spacing w:line="360" w:lineRule="auto"/>
              <w:rPr>
                <w:rFonts w:asciiTheme="minorEastAsia" w:hAnsiTheme="minorEastAsia" w:eastAsiaTheme="minorEastAsia" w:cstheme="minorEastAsia"/>
                <w:sz w:val="24"/>
                <w:szCs w:val="24"/>
              </w:rPr>
            </w:pPr>
          </w:p>
        </w:tc>
        <w:tc>
          <w:tcPr>
            <w:tcW w:w="1436" w:type="dxa"/>
            <w:vAlign w:val="center"/>
          </w:tcPr>
          <w:p w14:paraId="370D561D">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移动电话</w:t>
            </w:r>
          </w:p>
        </w:tc>
        <w:tc>
          <w:tcPr>
            <w:tcW w:w="4773" w:type="dxa"/>
            <w:gridSpan w:val="2"/>
            <w:vAlign w:val="center"/>
          </w:tcPr>
          <w:p w14:paraId="277A19B3">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13622261780</w:t>
            </w:r>
          </w:p>
        </w:tc>
      </w:tr>
      <w:tr w14:paraId="58544C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315FC589">
            <w:pPr>
              <w:spacing w:line="360" w:lineRule="auto"/>
              <w:rPr>
                <w:rFonts w:asciiTheme="minorEastAsia" w:hAnsiTheme="minorEastAsia" w:eastAsiaTheme="minorEastAsia" w:cstheme="minorEastAsia"/>
                <w:sz w:val="24"/>
                <w:szCs w:val="24"/>
              </w:rPr>
            </w:pPr>
          </w:p>
        </w:tc>
        <w:tc>
          <w:tcPr>
            <w:tcW w:w="1074" w:type="dxa"/>
            <w:vMerge w:val="continue"/>
            <w:vAlign w:val="center"/>
          </w:tcPr>
          <w:p w14:paraId="7F1BD8D3">
            <w:pPr>
              <w:spacing w:line="360" w:lineRule="auto"/>
              <w:rPr>
                <w:rFonts w:asciiTheme="minorEastAsia" w:hAnsiTheme="minorEastAsia" w:eastAsiaTheme="minorEastAsia" w:cstheme="minorEastAsia"/>
                <w:sz w:val="24"/>
                <w:szCs w:val="24"/>
              </w:rPr>
            </w:pPr>
          </w:p>
        </w:tc>
        <w:tc>
          <w:tcPr>
            <w:tcW w:w="1436" w:type="dxa"/>
            <w:vAlign w:val="center"/>
          </w:tcPr>
          <w:p w14:paraId="59803BFB">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    箱</w:t>
            </w:r>
          </w:p>
        </w:tc>
        <w:tc>
          <w:tcPr>
            <w:tcW w:w="4773" w:type="dxa"/>
            <w:gridSpan w:val="2"/>
            <w:vAlign w:val="center"/>
          </w:tcPr>
          <w:p w14:paraId="2B6717D6">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595425627@qq.com</w:t>
            </w:r>
          </w:p>
        </w:tc>
      </w:tr>
      <w:tr w14:paraId="00CEEF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56" w:hRule="atLeast"/>
          <w:jc w:val="center"/>
        </w:trPr>
        <w:tc>
          <w:tcPr>
            <w:tcW w:w="2235" w:type="dxa"/>
            <w:vMerge w:val="continue"/>
            <w:vAlign w:val="center"/>
          </w:tcPr>
          <w:p w14:paraId="5421A691">
            <w:pPr>
              <w:spacing w:line="360" w:lineRule="auto"/>
              <w:rPr>
                <w:rFonts w:asciiTheme="minorEastAsia" w:hAnsiTheme="minorEastAsia" w:eastAsiaTheme="minorEastAsia" w:cstheme="minorEastAsia"/>
                <w:sz w:val="24"/>
                <w:szCs w:val="24"/>
              </w:rPr>
            </w:pPr>
          </w:p>
        </w:tc>
        <w:tc>
          <w:tcPr>
            <w:tcW w:w="1074" w:type="dxa"/>
            <w:vMerge w:val="continue"/>
            <w:vAlign w:val="center"/>
          </w:tcPr>
          <w:p w14:paraId="20DADDF2">
            <w:pPr>
              <w:spacing w:line="360" w:lineRule="auto"/>
              <w:rPr>
                <w:rFonts w:asciiTheme="minorEastAsia" w:hAnsiTheme="minorEastAsia" w:eastAsiaTheme="minorEastAsia" w:cstheme="minorEastAsia"/>
                <w:sz w:val="24"/>
                <w:szCs w:val="24"/>
              </w:rPr>
            </w:pPr>
          </w:p>
        </w:tc>
        <w:tc>
          <w:tcPr>
            <w:tcW w:w="1436" w:type="dxa"/>
            <w:vAlign w:val="center"/>
          </w:tcPr>
          <w:p w14:paraId="492B4EBB">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通信地址</w:t>
            </w:r>
          </w:p>
        </w:tc>
        <w:tc>
          <w:tcPr>
            <w:tcW w:w="4773" w:type="dxa"/>
            <w:gridSpan w:val="2"/>
            <w:vAlign w:val="center"/>
          </w:tcPr>
          <w:p w14:paraId="52A3DB5A">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广州市越秀区建设三马路11号新时代大厦附楼二楼</w:t>
            </w:r>
            <w:r>
              <w:rPr>
                <w:rFonts w:hint="eastAsia" w:asciiTheme="minorEastAsia" w:hAnsiTheme="minorEastAsia" w:eastAsiaTheme="minorEastAsia" w:cstheme="minorEastAsia"/>
                <w:sz w:val="24"/>
                <w:szCs w:val="24"/>
                <w:lang w:val="en-US" w:eastAsia="zh-CN"/>
              </w:rPr>
              <w:t>物业工程</w:t>
            </w:r>
            <w:r>
              <w:rPr>
                <w:rFonts w:hint="eastAsia" w:asciiTheme="minorEastAsia" w:hAnsiTheme="minorEastAsia" w:eastAsiaTheme="minorEastAsia" w:cstheme="minorEastAsia"/>
                <w:sz w:val="24"/>
                <w:szCs w:val="24"/>
              </w:rPr>
              <w:t>部</w:t>
            </w:r>
          </w:p>
        </w:tc>
      </w:tr>
      <w:tr w14:paraId="771D4C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Align w:val="center"/>
          </w:tcPr>
          <w:p w14:paraId="3E674FB7">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现场勘察联系方式</w:t>
            </w:r>
          </w:p>
        </w:tc>
        <w:tc>
          <w:tcPr>
            <w:tcW w:w="2510" w:type="dxa"/>
            <w:gridSpan w:val="2"/>
            <w:vAlign w:val="center"/>
          </w:tcPr>
          <w:p w14:paraId="3AD0376F">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吴建新</w:t>
            </w:r>
          </w:p>
        </w:tc>
        <w:tc>
          <w:tcPr>
            <w:tcW w:w="1504" w:type="dxa"/>
            <w:vAlign w:val="center"/>
          </w:tcPr>
          <w:p w14:paraId="3EEB84AC">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269" w:type="dxa"/>
            <w:vAlign w:val="center"/>
          </w:tcPr>
          <w:p w14:paraId="08947CD6">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15818132084</w:t>
            </w:r>
          </w:p>
        </w:tc>
      </w:tr>
      <w:tr w14:paraId="179AE2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034E30B">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项目内容</w:t>
            </w:r>
          </w:p>
        </w:tc>
        <w:tc>
          <w:tcPr>
            <w:tcW w:w="7283" w:type="dxa"/>
            <w:gridSpan w:val="4"/>
            <w:vAlign w:val="center"/>
          </w:tcPr>
          <w:p w14:paraId="0425C8C2">
            <w:pPr>
              <w:pStyle w:val="2"/>
              <w:spacing w:line="360" w:lineRule="auto"/>
              <w:ind w:firstLine="0"/>
              <w:rPr>
                <w:rFonts w:hint="default"/>
                <w:sz w:val="24"/>
                <w:szCs w:val="24"/>
                <w:lang w:val="en-US" w:eastAsia="zh-CN"/>
              </w:rPr>
            </w:pPr>
            <w:r>
              <w:rPr>
                <w:rFonts w:hint="eastAsia"/>
                <w:sz w:val="24"/>
                <w:szCs w:val="24"/>
                <w:lang w:val="en-US" w:eastAsia="zh-CN"/>
              </w:rPr>
              <w:t>对海珠大戏院的升级改造提供设计服务</w:t>
            </w:r>
          </w:p>
        </w:tc>
      </w:tr>
      <w:tr w14:paraId="1A7F68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14FFFDEE">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报价方式</w:t>
            </w:r>
          </w:p>
        </w:tc>
        <w:tc>
          <w:tcPr>
            <w:tcW w:w="7283" w:type="dxa"/>
            <w:gridSpan w:val="4"/>
            <w:vAlign w:val="center"/>
          </w:tcPr>
          <w:p w14:paraId="462629B2">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邀请报价</w:t>
            </w:r>
          </w:p>
        </w:tc>
      </w:tr>
      <w:tr w14:paraId="07825A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41" w:hRule="atLeast"/>
          <w:jc w:val="center"/>
        </w:trPr>
        <w:tc>
          <w:tcPr>
            <w:tcW w:w="2235" w:type="dxa"/>
            <w:vAlign w:val="center"/>
          </w:tcPr>
          <w:p w14:paraId="0A401685">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邀请函发出时间</w:t>
            </w:r>
          </w:p>
        </w:tc>
        <w:tc>
          <w:tcPr>
            <w:tcW w:w="7283" w:type="dxa"/>
            <w:gridSpan w:val="4"/>
            <w:vAlign w:val="center"/>
          </w:tcPr>
          <w:p w14:paraId="3B4BC33E">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 xml:space="preserve">年 </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 xml:space="preserve">月 </w:t>
            </w:r>
            <w:r>
              <w:rPr>
                <w:rFonts w:hint="eastAsia" w:asciiTheme="minorEastAsia" w:hAnsiTheme="minorEastAsia" w:eastAsiaTheme="minorEastAsia" w:cstheme="minorEastAsia"/>
                <w:sz w:val="24"/>
                <w:szCs w:val="24"/>
                <w:lang w:val="en-US" w:eastAsia="zh-CN"/>
              </w:rPr>
              <w:t xml:space="preserve"> 17  </w:t>
            </w:r>
            <w:r>
              <w:rPr>
                <w:rFonts w:hint="eastAsia" w:asciiTheme="minorEastAsia" w:hAnsiTheme="minorEastAsia" w:eastAsiaTheme="minorEastAsia" w:cstheme="minorEastAsia"/>
                <w:sz w:val="24"/>
                <w:szCs w:val="24"/>
              </w:rPr>
              <w:t xml:space="preserve">日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开始-202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1</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24 </w:t>
            </w:r>
            <w:r>
              <w:rPr>
                <w:rFonts w:hint="eastAsia" w:asciiTheme="minorEastAsia" w:hAnsiTheme="minorEastAsia" w:eastAsiaTheme="minorEastAsia" w:cstheme="minorEastAsia"/>
                <w:sz w:val="24"/>
                <w:szCs w:val="24"/>
              </w:rPr>
              <w:t>日 结束</w:t>
            </w:r>
          </w:p>
        </w:tc>
      </w:tr>
      <w:tr w14:paraId="6633AD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72B5FD9C">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现场勘察时间</w:t>
            </w:r>
          </w:p>
        </w:tc>
        <w:tc>
          <w:tcPr>
            <w:tcW w:w="7283" w:type="dxa"/>
            <w:gridSpan w:val="4"/>
            <w:vAlign w:val="center"/>
          </w:tcPr>
          <w:p w14:paraId="0CA4DDC9">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 xml:space="preserve">年 </w:t>
            </w:r>
            <w:r>
              <w:rPr>
                <w:rFonts w:hint="eastAsia" w:asciiTheme="minorEastAsia" w:hAnsiTheme="minorEastAsia" w:eastAsiaTheme="minorEastAsia" w:cstheme="minorEastAsia"/>
                <w:sz w:val="24"/>
                <w:szCs w:val="24"/>
                <w:lang w:val="en-US" w:eastAsia="zh-CN"/>
              </w:rPr>
              <w:t xml:space="preserve">1 </w:t>
            </w:r>
            <w:r>
              <w:rPr>
                <w:rFonts w:hint="eastAsia" w:asciiTheme="minorEastAsia" w:hAnsiTheme="minorEastAsia" w:eastAsiaTheme="minorEastAsia" w:cstheme="minorEastAsia"/>
                <w:sz w:val="24"/>
                <w:szCs w:val="24"/>
              </w:rPr>
              <w:t xml:space="preserve">月 </w:t>
            </w:r>
            <w:r>
              <w:rPr>
                <w:rFonts w:hint="eastAsia" w:asciiTheme="minorEastAsia" w:hAnsiTheme="minorEastAsia" w:eastAsiaTheme="minorEastAsia" w:cstheme="minorEastAsia"/>
                <w:sz w:val="24"/>
                <w:szCs w:val="24"/>
                <w:lang w:val="en-US" w:eastAsia="zh-CN"/>
              </w:rPr>
              <w:t xml:space="preserve"> 17 </w:t>
            </w:r>
            <w:r>
              <w:rPr>
                <w:rFonts w:hint="eastAsia" w:asciiTheme="minorEastAsia" w:hAnsiTheme="minorEastAsia" w:eastAsiaTheme="minorEastAsia" w:cstheme="minorEastAsia"/>
                <w:sz w:val="24"/>
                <w:szCs w:val="24"/>
              </w:rPr>
              <w:t>日  开始-202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 xml:space="preserve">年 </w:t>
            </w:r>
            <w:r>
              <w:rPr>
                <w:rFonts w:hint="eastAsia" w:asciiTheme="minorEastAsia" w:hAnsiTheme="minorEastAsia" w:eastAsiaTheme="minorEastAsia" w:cstheme="minorEastAsia"/>
                <w:sz w:val="24"/>
                <w:szCs w:val="24"/>
                <w:lang w:val="en-US" w:eastAsia="zh-CN"/>
              </w:rPr>
              <w:t xml:space="preserve">1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24</w:t>
            </w:r>
            <w:r>
              <w:rPr>
                <w:rFonts w:hint="eastAsia" w:asciiTheme="minorEastAsia" w:hAnsiTheme="minorEastAsia" w:eastAsiaTheme="minorEastAsia" w:cstheme="minorEastAsia"/>
                <w:sz w:val="24"/>
                <w:szCs w:val="24"/>
              </w:rPr>
              <w:t>日  结束</w:t>
            </w:r>
          </w:p>
        </w:tc>
      </w:tr>
      <w:tr w14:paraId="2B9B0C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14:paraId="679C29FC">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保证金</w:t>
            </w:r>
          </w:p>
        </w:tc>
        <w:tc>
          <w:tcPr>
            <w:tcW w:w="7283" w:type="dxa"/>
            <w:gridSpan w:val="4"/>
            <w:tcBorders>
              <w:bottom w:val="single" w:color="auto" w:sz="4" w:space="0"/>
            </w:tcBorders>
            <w:vAlign w:val="center"/>
          </w:tcPr>
          <w:p w14:paraId="017ACD46">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无</w:t>
            </w:r>
          </w:p>
        </w:tc>
      </w:tr>
      <w:tr w14:paraId="6827C4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1FE7241C">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文件递交时间</w:t>
            </w:r>
          </w:p>
        </w:tc>
        <w:tc>
          <w:tcPr>
            <w:tcW w:w="7283" w:type="dxa"/>
            <w:gridSpan w:val="4"/>
            <w:tcBorders>
              <w:top w:val="single" w:color="auto" w:sz="4" w:space="0"/>
              <w:bottom w:val="single" w:color="auto" w:sz="4" w:space="0"/>
            </w:tcBorders>
            <w:vAlign w:val="center"/>
          </w:tcPr>
          <w:p w14:paraId="19527498">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26</w:t>
            </w:r>
            <w:r>
              <w:rPr>
                <w:rFonts w:hint="eastAsia" w:asciiTheme="minorEastAsia" w:hAnsiTheme="minorEastAsia" w:eastAsiaTheme="minorEastAsia" w:cstheme="minorEastAsia"/>
                <w:sz w:val="24"/>
                <w:szCs w:val="24"/>
              </w:rPr>
              <w:t>日 上午</w:t>
            </w:r>
            <w:r>
              <w:rPr>
                <w:rFonts w:hint="eastAsia" w:asciiTheme="minorEastAsia" w:hAnsiTheme="minorEastAsia" w:eastAsiaTheme="minorEastAsia" w:cstheme="minorEastAsia"/>
                <w:sz w:val="24"/>
                <w:szCs w:val="24"/>
                <w:lang w:val="en-US" w:eastAsia="zh-CN"/>
              </w:rPr>
              <w:t>9：30</w:t>
            </w:r>
            <w:r>
              <w:rPr>
                <w:rFonts w:hint="eastAsia" w:asciiTheme="minorEastAsia" w:hAnsiTheme="minorEastAsia" w:eastAsiaTheme="minorEastAsia" w:cstheme="minorEastAsia"/>
                <w:sz w:val="24"/>
                <w:szCs w:val="24"/>
              </w:rPr>
              <w:t>前</w:t>
            </w:r>
          </w:p>
        </w:tc>
      </w:tr>
      <w:tr w14:paraId="6F52C6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3" w:hRule="atLeast"/>
          <w:jc w:val="center"/>
        </w:trPr>
        <w:tc>
          <w:tcPr>
            <w:tcW w:w="2235" w:type="dxa"/>
            <w:tcBorders>
              <w:top w:val="single" w:color="auto" w:sz="4" w:space="0"/>
              <w:bottom w:val="single" w:color="auto" w:sz="4" w:space="0"/>
            </w:tcBorders>
            <w:vAlign w:val="center"/>
          </w:tcPr>
          <w:p w14:paraId="69646E60">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报价有效期</w:t>
            </w:r>
          </w:p>
        </w:tc>
        <w:tc>
          <w:tcPr>
            <w:tcW w:w="7283" w:type="dxa"/>
            <w:gridSpan w:val="4"/>
            <w:tcBorders>
              <w:top w:val="single" w:color="auto" w:sz="4" w:space="0"/>
              <w:bottom w:val="single" w:color="auto" w:sz="4" w:space="0"/>
            </w:tcBorders>
            <w:vAlign w:val="center"/>
          </w:tcPr>
          <w:p w14:paraId="114BE6F5">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投标截止日后180个日历天内有效</w:t>
            </w:r>
          </w:p>
        </w:tc>
      </w:tr>
      <w:tr w14:paraId="5FE425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62DB100E">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报价文件分数</w:t>
            </w:r>
          </w:p>
        </w:tc>
        <w:tc>
          <w:tcPr>
            <w:tcW w:w="7283" w:type="dxa"/>
            <w:gridSpan w:val="4"/>
            <w:tcBorders>
              <w:top w:val="single" w:color="auto" w:sz="4" w:space="0"/>
              <w:bottom w:val="single" w:color="auto" w:sz="4" w:space="0"/>
            </w:tcBorders>
            <w:vAlign w:val="center"/>
          </w:tcPr>
          <w:p w14:paraId="7BCEAF7A">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一式</w:t>
            </w:r>
            <w:r>
              <w:rPr>
                <w:rFonts w:hint="eastAsia" w:asciiTheme="minorEastAsia" w:hAnsiTheme="minorEastAsia" w:eastAsiaTheme="minorEastAsia" w:cstheme="minorEastAsia"/>
                <w:sz w:val="24"/>
                <w:szCs w:val="24"/>
                <w:lang w:val="en-US" w:eastAsia="zh-CN"/>
              </w:rPr>
              <w:t>叁</w:t>
            </w:r>
            <w:r>
              <w:rPr>
                <w:rFonts w:hint="eastAsia" w:asciiTheme="minorEastAsia" w:hAnsiTheme="minorEastAsia" w:eastAsiaTheme="minorEastAsia" w:cstheme="minorEastAsia"/>
                <w:sz w:val="24"/>
                <w:szCs w:val="24"/>
              </w:rPr>
              <w:t>份，要求每份盖公章及骑缝章</w:t>
            </w:r>
          </w:p>
        </w:tc>
      </w:tr>
      <w:tr w14:paraId="4D0B22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224C00D8">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文件递交</w:t>
            </w:r>
          </w:p>
        </w:tc>
        <w:tc>
          <w:tcPr>
            <w:tcW w:w="7283" w:type="dxa"/>
            <w:gridSpan w:val="4"/>
            <w:tcBorders>
              <w:top w:val="single" w:color="auto" w:sz="4" w:space="0"/>
            </w:tcBorders>
            <w:vAlign w:val="center"/>
          </w:tcPr>
          <w:p w14:paraId="36354EEC">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递交至： 广州市演出电影有限公司</w:t>
            </w:r>
          </w:p>
          <w:p w14:paraId="4579D081">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地址：广州市越秀区建设三马路11号新时代大厦附楼二楼</w:t>
            </w:r>
            <w:r>
              <w:rPr>
                <w:rFonts w:hint="eastAsia" w:asciiTheme="minorEastAsia" w:hAnsiTheme="minorEastAsia" w:eastAsiaTheme="minorEastAsia" w:cstheme="minorEastAsia"/>
                <w:sz w:val="24"/>
                <w:szCs w:val="24"/>
                <w:lang w:val="en-US" w:eastAsia="zh-CN"/>
              </w:rPr>
              <w:t>物业工程部</w:t>
            </w:r>
          </w:p>
          <w:p w14:paraId="7155B3BA">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接收人：</w:t>
            </w:r>
            <w:r>
              <w:rPr>
                <w:rFonts w:hint="eastAsia" w:asciiTheme="minorEastAsia" w:hAnsiTheme="minorEastAsia" w:eastAsiaTheme="minorEastAsia" w:cstheme="minorEastAsia"/>
                <w:sz w:val="24"/>
                <w:szCs w:val="24"/>
                <w:lang w:eastAsia="zh-CN"/>
              </w:rPr>
              <w:t>叶炳新</w:t>
            </w:r>
          </w:p>
          <w:p w14:paraId="14E0C4F9">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电话：</w:t>
            </w:r>
            <w:r>
              <w:rPr>
                <w:rFonts w:hint="eastAsia" w:asciiTheme="minorEastAsia" w:hAnsiTheme="minorEastAsia" w:eastAsiaTheme="minorEastAsia" w:cstheme="minorEastAsia"/>
                <w:sz w:val="24"/>
                <w:szCs w:val="24"/>
                <w:lang w:val="en-US" w:eastAsia="zh-CN"/>
              </w:rPr>
              <w:t>13622261780</w:t>
            </w:r>
          </w:p>
          <w:p w14:paraId="5A3E4E1A">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文件接受截止时间：202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1</w:t>
            </w:r>
            <w:r>
              <w:rPr>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sz w:val="24"/>
                <w:szCs w:val="24"/>
                <w:lang w:val="en-US" w:eastAsia="zh-CN"/>
              </w:rPr>
              <w:t xml:space="preserve"> 26 </w:t>
            </w:r>
            <w:r>
              <w:rPr>
                <w:rFonts w:hint="eastAsia" w:asciiTheme="minorEastAsia" w:hAnsiTheme="minorEastAsia" w:eastAsiaTheme="minorEastAsia" w:cstheme="minorEastAsia"/>
                <w:sz w:val="24"/>
                <w:szCs w:val="24"/>
              </w:rPr>
              <w:t>日 上午</w:t>
            </w:r>
            <w:r>
              <w:rPr>
                <w:rFonts w:hint="eastAsia" w:asciiTheme="minorEastAsia" w:hAnsiTheme="minorEastAsia" w:eastAsiaTheme="minorEastAsia" w:cstheme="minorEastAsia"/>
                <w:sz w:val="24"/>
                <w:szCs w:val="24"/>
                <w:lang w:val="en-US" w:eastAsia="zh-CN"/>
              </w:rPr>
              <w:t>9:30前</w:t>
            </w:r>
          </w:p>
          <w:p w14:paraId="154EEB39">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文件递交方式：邮寄或现场递交</w:t>
            </w:r>
          </w:p>
        </w:tc>
      </w:tr>
      <w:tr w14:paraId="344D5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64CD63A1">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报价文件开启及评选时间</w:t>
            </w:r>
          </w:p>
        </w:tc>
        <w:tc>
          <w:tcPr>
            <w:tcW w:w="7283" w:type="dxa"/>
            <w:gridSpan w:val="4"/>
            <w:tcBorders>
              <w:top w:val="single" w:color="auto" w:sz="4" w:space="0"/>
            </w:tcBorders>
            <w:vAlign w:val="center"/>
          </w:tcPr>
          <w:p w14:paraId="3B833F56">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时间：202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1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 xml:space="preserve"> 26</w:t>
            </w:r>
            <w:r>
              <w:rPr>
                <w:rFonts w:hint="eastAsia" w:asciiTheme="minorEastAsia" w:hAnsiTheme="minorEastAsia" w:eastAsiaTheme="minorEastAsia" w:cstheme="minorEastAsia"/>
                <w:sz w:val="24"/>
                <w:szCs w:val="24"/>
              </w:rPr>
              <w:t>日 上午</w:t>
            </w:r>
            <w:r>
              <w:rPr>
                <w:rFonts w:hint="eastAsia" w:asciiTheme="minorEastAsia" w:hAnsiTheme="minorEastAsia" w:eastAsiaTheme="minorEastAsia" w:cstheme="minorEastAsia"/>
                <w:sz w:val="24"/>
                <w:szCs w:val="24"/>
                <w:lang w:val="en-US" w:eastAsia="zh-CN"/>
              </w:rPr>
              <w:t>10:00</w:t>
            </w:r>
          </w:p>
          <w:p w14:paraId="698DB619">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地点：广州市越秀区建设三马路新时代大厦二楼会议室</w:t>
            </w:r>
          </w:p>
        </w:tc>
      </w:tr>
      <w:tr w14:paraId="3BE790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14:paraId="056D8873">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合同签订时间</w:t>
            </w:r>
          </w:p>
        </w:tc>
        <w:tc>
          <w:tcPr>
            <w:tcW w:w="7283" w:type="dxa"/>
            <w:gridSpan w:val="4"/>
            <w:vAlign w:val="center"/>
          </w:tcPr>
          <w:p w14:paraId="081127B4">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预计202</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 xml:space="preserve"> 2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日前</w:t>
            </w:r>
          </w:p>
        </w:tc>
      </w:tr>
      <w:tr w14:paraId="427742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14:paraId="41B36997">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现场勘察</w:t>
            </w:r>
          </w:p>
        </w:tc>
        <w:tc>
          <w:tcPr>
            <w:tcW w:w="7283" w:type="dxa"/>
            <w:gridSpan w:val="4"/>
            <w:vAlign w:val="center"/>
          </w:tcPr>
          <w:p w14:paraId="310FD640">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自愿自行组织</w:t>
            </w:r>
          </w:p>
        </w:tc>
      </w:tr>
      <w:tr w14:paraId="508732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1345BD72">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评标办法</w:t>
            </w:r>
          </w:p>
        </w:tc>
        <w:tc>
          <w:tcPr>
            <w:tcW w:w="7283" w:type="dxa"/>
            <w:gridSpan w:val="4"/>
            <w:vAlign w:val="center"/>
          </w:tcPr>
          <w:p w14:paraId="2EE35E4A">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合理低价法</w:t>
            </w:r>
          </w:p>
        </w:tc>
      </w:tr>
      <w:tr w14:paraId="40C758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E86A609">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资金来源</w:t>
            </w:r>
          </w:p>
        </w:tc>
        <w:tc>
          <w:tcPr>
            <w:tcW w:w="7283" w:type="dxa"/>
            <w:gridSpan w:val="4"/>
            <w:vAlign w:val="center"/>
          </w:tcPr>
          <w:p w14:paraId="01F21677">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企业自有资金</w:t>
            </w:r>
          </w:p>
        </w:tc>
      </w:tr>
      <w:tr w14:paraId="34DF0C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A22BBBC">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项目限额</w:t>
            </w:r>
          </w:p>
        </w:tc>
        <w:tc>
          <w:tcPr>
            <w:tcW w:w="7283" w:type="dxa"/>
            <w:gridSpan w:val="4"/>
            <w:vAlign w:val="center"/>
          </w:tcPr>
          <w:p w14:paraId="7C85F07A">
            <w:pPr>
              <w:spacing w:line="360" w:lineRule="auto"/>
              <w:rPr>
                <w:rFonts w:hint="eastAsia" w:asciiTheme="minorEastAsia" w:hAnsiTheme="minorEastAsia" w:eastAsiaTheme="minorEastAsia" w:cstheme="minorEastAsia"/>
                <w:sz w:val="24"/>
                <w:szCs w:val="24"/>
                <w:lang w:eastAsia="zh-CN"/>
              </w:rPr>
            </w:pPr>
            <w:r>
              <w:rPr>
                <w:rFonts w:hint="eastAsia" w:ascii="Times New Roman" w:hAnsi="Times New Roman" w:eastAsia="幼圆" w:cs="幼圆"/>
                <w:sz w:val="21"/>
                <w:szCs w:val="21"/>
                <w:lang w:val="zh-CN"/>
              </w:rPr>
              <w:t>本</w:t>
            </w:r>
            <w:r>
              <w:rPr>
                <w:rFonts w:hint="eastAsia" w:ascii="Times New Roman" w:hAnsi="Times New Roman" w:eastAsia="幼圆" w:cs="幼圆"/>
                <w:sz w:val="21"/>
                <w:szCs w:val="21"/>
                <w:lang w:val="en-US" w:eastAsia="zh-CN"/>
              </w:rPr>
              <w:t>服务</w:t>
            </w:r>
            <w:r>
              <w:rPr>
                <w:rFonts w:hint="eastAsia" w:ascii="Times New Roman" w:hAnsi="Times New Roman" w:eastAsia="幼圆" w:cs="幼圆"/>
                <w:sz w:val="21"/>
                <w:szCs w:val="21"/>
                <w:lang w:val="zh-CN"/>
              </w:rPr>
              <w:t>项目设最高限价</w:t>
            </w:r>
            <w:r>
              <w:rPr>
                <w:rFonts w:hint="eastAsia" w:ascii="Times New Roman" w:hAnsi="Times New Roman" w:eastAsia="幼圆" w:cs="幼圆"/>
                <w:sz w:val="21"/>
                <w:szCs w:val="21"/>
                <w:lang w:val="en-US" w:eastAsia="zh-CN"/>
              </w:rPr>
              <w:t>为</w:t>
            </w:r>
            <w:r>
              <w:rPr>
                <w:rFonts w:hint="eastAsia" w:asciiTheme="minorEastAsia" w:hAnsiTheme="minorEastAsia" w:eastAsiaTheme="minorEastAsia" w:cstheme="minorEastAsia"/>
                <w:sz w:val="24"/>
                <w:szCs w:val="24"/>
                <w:lang w:val="en-US" w:eastAsia="zh-CN"/>
              </w:rPr>
              <w:t>28</w:t>
            </w:r>
            <w:r>
              <w:rPr>
                <w:rFonts w:hint="eastAsia" w:asciiTheme="minorEastAsia" w:hAnsiTheme="minorEastAsia" w:eastAsiaTheme="minorEastAsia" w:cstheme="minorEastAsia"/>
                <w:sz w:val="24"/>
                <w:szCs w:val="24"/>
              </w:rPr>
              <w:t>万元</w:t>
            </w:r>
            <w:r>
              <w:rPr>
                <w:rFonts w:hint="eastAsia" w:asciiTheme="minorEastAsia" w:hAnsiTheme="minorEastAsia" w:eastAsiaTheme="minorEastAsia" w:cstheme="minorEastAsia"/>
                <w:sz w:val="24"/>
                <w:szCs w:val="24"/>
                <w:lang w:eastAsia="zh-CN"/>
              </w:rPr>
              <w:t>，</w:t>
            </w:r>
            <w:r>
              <w:rPr>
                <w:rFonts w:hint="eastAsia" w:ascii="幼圆" w:hAnsi="幼圆" w:eastAsia="幼圆" w:cs="幼圆"/>
                <w:sz w:val="21"/>
                <w:szCs w:val="21"/>
                <w:lang w:val="zh-CN"/>
              </w:rPr>
              <w:t>凡投标报价超过投标最高限价的投标将被拒绝</w:t>
            </w:r>
            <w:r>
              <w:rPr>
                <w:rFonts w:hint="eastAsia" w:ascii="幼圆" w:eastAsia="幼圆"/>
                <w:sz w:val="21"/>
                <w:szCs w:val="21"/>
                <w:lang w:val="zh-CN"/>
              </w:rPr>
              <w:t>。</w:t>
            </w:r>
          </w:p>
        </w:tc>
      </w:tr>
      <w:tr w14:paraId="7FE5FF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14:paraId="1FD5B828">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技术要求</w:t>
            </w:r>
          </w:p>
        </w:tc>
        <w:tc>
          <w:tcPr>
            <w:tcW w:w="7283" w:type="dxa"/>
            <w:gridSpan w:val="4"/>
            <w:vAlign w:val="center"/>
          </w:tcPr>
          <w:p w14:paraId="5531AEE4">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见下要求</w:t>
            </w:r>
          </w:p>
        </w:tc>
      </w:tr>
      <w:tr w14:paraId="4BC73A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AB06067">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商务要求</w:t>
            </w:r>
          </w:p>
        </w:tc>
        <w:tc>
          <w:tcPr>
            <w:tcW w:w="7283" w:type="dxa"/>
            <w:gridSpan w:val="4"/>
            <w:vAlign w:val="center"/>
          </w:tcPr>
          <w:p w14:paraId="1095C73A">
            <w:pPr>
              <w:spacing w:line="360" w:lineRule="auto"/>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见下要求</w:t>
            </w:r>
          </w:p>
        </w:tc>
      </w:tr>
    </w:tbl>
    <w:p w14:paraId="0AD7A023">
      <w:pPr>
        <w:spacing w:line="360" w:lineRule="auto"/>
        <w:rPr>
          <w:rFonts w:asciiTheme="minorEastAsia" w:hAnsiTheme="minorEastAsia" w:eastAsiaTheme="minorEastAsia" w:cstheme="minorEastAsia"/>
          <w:b/>
          <w:bCs/>
          <w:sz w:val="24"/>
          <w:szCs w:val="24"/>
        </w:rPr>
      </w:pPr>
    </w:p>
    <w:p w14:paraId="32ED57AF">
      <w:pPr>
        <w:keepNext w:val="0"/>
        <w:keepLines w:val="0"/>
        <w:pageBreakBefore w:val="0"/>
        <w:numPr>
          <w:ilvl w:val="0"/>
          <w:numId w:val="2"/>
        </w:numPr>
        <w:kinsoku/>
        <w:wordWrap/>
        <w:overflowPunct/>
        <w:topLinePunct w:val="0"/>
        <w:bidi w:val="0"/>
        <w:snapToGrid/>
        <w:spacing w:line="360" w:lineRule="auto"/>
        <w:outlineLvl w:val="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项目内容</w:t>
      </w:r>
    </w:p>
    <w:p w14:paraId="1437A5AC">
      <w:pPr>
        <w:keepNext w:val="0"/>
        <w:keepLines w:val="0"/>
        <w:pageBreakBefore w:val="0"/>
        <w:numPr>
          <w:ilvl w:val="0"/>
          <w:numId w:val="3"/>
        </w:numPr>
        <w:kinsoku/>
        <w:wordWrap/>
        <w:overflowPunct/>
        <w:topLinePunct w:val="0"/>
        <w:bidi w:val="0"/>
        <w:snapToGrid/>
        <w:spacing w:line="360" w:lineRule="auto"/>
        <w:outlineLvl w:val="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r>
        <w:rPr>
          <w:rFonts w:hint="eastAsia" w:asciiTheme="minorEastAsia" w:hAnsiTheme="minorEastAsia" w:eastAsiaTheme="minorEastAsia" w:cstheme="minorEastAsia"/>
          <w:sz w:val="24"/>
          <w:szCs w:val="24"/>
          <w:lang w:val="en-US" w:eastAsia="zh-CN"/>
        </w:rPr>
        <w:t>海珠大戏院升级改造设计服务项目</w:t>
      </w:r>
    </w:p>
    <w:p w14:paraId="278B08C3">
      <w:pPr>
        <w:pStyle w:val="12"/>
        <w:keepNext w:val="0"/>
        <w:keepLines w:val="0"/>
        <w:pageBreakBefore w:val="0"/>
        <w:numPr>
          <w:ilvl w:val="0"/>
          <w:numId w:val="3"/>
        </w:numPr>
        <w:kinsoku/>
        <w:wordWrap/>
        <w:overflowPunct/>
        <w:topLinePunct w:val="0"/>
        <w:bidi w:val="0"/>
        <w:snapToGrid/>
        <w:spacing w:line="360" w:lineRule="auto"/>
        <w:ind w:firstLineChars="0"/>
        <w:rPr>
          <w:rFonts w:hint="default"/>
          <w:sz w:val="21"/>
          <w:szCs w:val="21"/>
          <w:lang w:val="en-US" w:eastAsia="zh-CN"/>
        </w:rPr>
      </w:pPr>
      <w:r>
        <w:rPr>
          <w:rFonts w:hint="eastAsia" w:asciiTheme="minorEastAsia" w:hAnsiTheme="minorEastAsia" w:eastAsiaTheme="minorEastAsia" w:cstheme="minorEastAsia"/>
          <w:sz w:val="24"/>
          <w:szCs w:val="24"/>
          <w:lang w:val="en-US" w:eastAsia="zh-CN"/>
        </w:rPr>
        <w:t>设计范围</w:t>
      </w:r>
      <w:r>
        <w:rPr>
          <w:rFonts w:hint="eastAsia" w:asciiTheme="minorEastAsia" w:hAnsiTheme="minorEastAsia" w:eastAsiaTheme="minorEastAsia" w:cstheme="minorEastAsia"/>
          <w:sz w:val="24"/>
          <w:szCs w:val="24"/>
        </w:rPr>
        <w:t>：</w:t>
      </w:r>
    </w:p>
    <w:p w14:paraId="2A84CAAA">
      <w:pPr>
        <w:pStyle w:val="12"/>
        <w:keepNext w:val="0"/>
        <w:keepLines w:val="0"/>
        <w:pageBreakBefore w:val="0"/>
        <w:widowControl w:val="0"/>
        <w:numPr>
          <w:ilvl w:val="0"/>
          <w:numId w:val="0"/>
        </w:numPr>
        <w:kinsoku/>
        <w:wordWrap/>
        <w:overflowPunct/>
        <w:topLinePunct w:val="0"/>
        <w:bidi w:val="0"/>
        <w:snapToGrid/>
        <w:spacing w:line="360" w:lineRule="auto"/>
        <w:ind w:firstLine="480" w:firstLineChars="200"/>
        <w:jc w:val="both"/>
        <w:rPr>
          <w:rFonts w:hint="default" w:asciiTheme="minorEastAsia" w:hAnsiTheme="minorEastAsia" w:eastAsiaTheme="minorEastAsia" w:cstheme="minorEastAsia"/>
          <w:kern w:val="2"/>
          <w:sz w:val="24"/>
          <w:szCs w:val="24"/>
          <w:lang w:val="en-US" w:eastAsia="zh-CN" w:bidi="ar-SA"/>
        </w:rPr>
      </w:pPr>
      <w:r>
        <w:rPr>
          <w:rFonts w:hint="default" w:asciiTheme="minorEastAsia" w:hAnsiTheme="minorEastAsia" w:eastAsiaTheme="minorEastAsia" w:cstheme="minorEastAsia"/>
          <w:color w:val="auto"/>
          <w:kern w:val="2"/>
          <w:sz w:val="24"/>
          <w:szCs w:val="24"/>
          <w:lang w:val="en-US" w:eastAsia="zh-CN" w:bidi="ar-SA"/>
        </w:rPr>
        <w:t>项目</w:t>
      </w:r>
      <w:r>
        <w:rPr>
          <w:rFonts w:hint="eastAsia" w:asciiTheme="minorEastAsia" w:hAnsiTheme="minorEastAsia" w:eastAsiaTheme="minorEastAsia" w:cstheme="minorEastAsia"/>
          <w:color w:val="auto"/>
          <w:kern w:val="2"/>
          <w:sz w:val="24"/>
          <w:szCs w:val="24"/>
          <w:lang w:val="en-US" w:eastAsia="zh-CN" w:bidi="ar-SA"/>
        </w:rPr>
        <w:t>室内设计面积</w:t>
      </w:r>
      <w:r>
        <w:rPr>
          <w:rFonts w:hint="default" w:asciiTheme="minorEastAsia" w:hAnsiTheme="minorEastAsia" w:eastAsiaTheme="minorEastAsia" w:cstheme="minorEastAsia"/>
          <w:color w:val="auto"/>
          <w:kern w:val="2"/>
          <w:sz w:val="24"/>
          <w:szCs w:val="24"/>
          <w:lang w:val="en-US" w:eastAsia="zh-CN" w:bidi="ar-SA"/>
        </w:rPr>
        <w:t>约</w:t>
      </w:r>
      <w:r>
        <w:rPr>
          <w:rFonts w:hint="eastAsia" w:asciiTheme="minorEastAsia" w:hAnsiTheme="minorEastAsia" w:eastAsiaTheme="minorEastAsia" w:cstheme="minorEastAsia"/>
          <w:color w:val="auto"/>
          <w:kern w:val="2"/>
          <w:sz w:val="24"/>
          <w:szCs w:val="24"/>
          <w:lang w:val="en-US" w:eastAsia="zh-CN" w:bidi="ar-SA"/>
        </w:rPr>
        <w:t>3500</w:t>
      </w:r>
      <w:r>
        <w:rPr>
          <w:rFonts w:hint="default" w:asciiTheme="minorEastAsia" w:hAnsiTheme="minorEastAsia" w:eastAsiaTheme="minorEastAsia" w:cstheme="minorEastAsia"/>
          <w:color w:val="auto"/>
          <w:kern w:val="2"/>
          <w:sz w:val="24"/>
          <w:szCs w:val="24"/>
          <w:lang w:val="en-US" w:eastAsia="zh-CN" w:bidi="ar-SA"/>
        </w:rPr>
        <w:t>平方米</w:t>
      </w:r>
      <w:r>
        <w:rPr>
          <w:rFonts w:hint="eastAsia" w:asciiTheme="minorEastAsia" w:hAnsiTheme="minorEastAsia" w:eastAsiaTheme="minorEastAsia" w:cstheme="minorEastAsia"/>
          <w:color w:val="auto"/>
          <w:kern w:val="2"/>
          <w:sz w:val="24"/>
          <w:szCs w:val="24"/>
          <w:lang w:val="en-US" w:eastAsia="zh-CN" w:bidi="ar-SA"/>
        </w:rPr>
        <w:t>，建筑物人行道及外立面面积约600平方。</w:t>
      </w:r>
      <w:r>
        <w:rPr>
          <w:rFonts w:hint="default" w:asciiTheme="minorEastAsia" w:hAnsiTheme="minorEastAsia" w:eastAsiaTheme="minorEastAsia" w:cstheme="minorEastAsia"/>
          <w:color w:val="auto"/>
          <w:kern w:val="2"/>
          <w:sz w:val="24"/>
          <w:szCs w:val="24"/>
          <w:lang w:val="en-US" w:eastAsia="zh-CN" w:bidi="ar-SA"/>
        </w:rPr>
        <w:t>需对</w:t>
      </w:r>
      <w:r>
        <w:rPr>
          <w:rFonts w:hint="eastAsia" w:asciiTheme="minorEastAsia" w:hAnsiTheme="minorEastAsia" w:eastAsiaTheme="minorEastAsia" w:cstheme="minorEastAsia"/>
          <w:color w:val="auto"/>
          <w:kern w:val="2"/>
          <w:sz w:val="24"/>
          <w:szCs w:val="24"/>
          <w:lang w:val="en-US" w:eastAsia="zh-CN" w:bidi="ar-SA"/>
        </w:rPr>
        <w:t>海珠大戏院剧院</w:t>
      </w:r>
      <w:r>
        <w:rPr>
          <w:rFonts w:hint="default" w:asciiTheme="minorEastAsia" w:hAnsiTheme="minorEastAsia" w:eastAsiaTheme="minorEastAsia" w:cstheme="minorEastAsia"/>
          <w:color w:val="auto"/>
          <w:kern w:val="2"/>
          <w:sz w:val="24"/>
          <w:szCs w:val="24"/>
          <w:lang w:val="en-US" w:eastAsia="zh-CN" w:bidi="ar-SA"/>
        </w:rPr>
        <w:t>范围内</w:t>
      </w:r>
      <w:r>
        <w:rPr>
          <w:rFonts w:hint="eastAsia" w:asciiTheme="minorEastAsia" w:hAnsiTheme="minorEastAsia" w:eastAsiaTheme="minorEastAsia" w:cstheme="minorEastAsia"/>
          <w:color w:val="auto"/>
          <w:kern w:val="2"/>
          <w:sz w:val="24"/>
          <w:szCs w:val="24"/>
          <w:lang w:val="en-US" w:eastAsia="zh-CN" w:bidi="ar-SA"/>
        </w:rPr>
        <w:t>及建筑物人行道及外立面</w:t>
      </w:r>
      <w:r>
        <w:rPr>
          <w:rFonts w:hint="default" w:asciiTheme="minorEastAsia" w:hAnsiTheme="minorEastAsia" w:eastAsiaTheme="minorEastAsia" w:cstheme="minorEastAsia"/>
          <w:color w:val="auto"/>
          <w:kern w:val="2"/>
          <w:sz w:val="24"/>
          <w:szCs w:val="24"/>
          <w:lang w:val="en-US" w:eastAsia="zh-CN" w:bidi="ar-SA"/>
        </w:rPr>
        <w:t>进行综合设计。</w:t>
      </w:r>
      <w:r>
        <w:rPr>
          <w:rFonts w:hint="eastAsia" w:asciiTheme="minorEastAsia" w:hAnsiTheme="minorEastAsia" w:eastAsiaTheme="minorEastAsia" w:cstheme="minorEastAsia"/>
          <w:color w:val="auto"/>
          <w:kern w:val="2"/>
          <w:sz w:val="24"/>
          <w:szCs w:val="24"/>
          <w:lang w:val="en-US" w:eastAsia="zh-CN" w:bidi="ar-SA"/>
        </w:rPr>
        <w:t>设计</w:t>
      </w:r>
      <w:r>
        <w:rPr>
          <w:rFonts w:hint="default" w:asciiTheme="minorEastAsia" w:hAnsiTheme="minorEastAsia" w:eastAsiaTheme="minorEastAsia" w:cstheme="minorEastAsia"/>
          <w:color w:val="auto"/>
          <w:kern w:val="2"/>
          <w:sz w:val="24"/>
          <w:szCs w:val="24"/>
          <w:lang w:val="en-US" w:eastAsia="zh-CN" w:bidi="ar-SA"/>
        </w:rPr>
        <w:t>包括不限于平面功能分区及布局含（</w:t>
      </w:r>
      <w:r>
        <w:rPr>
          <w:rFonts w:hint="eastAsia" w:asciiTheme="minorEastAsia" w:hAnsiTheme="minorEastAsia" w:eastAsiaTheme="minorEastAsia" w:cstheme="minorEastAsia"/>
          <w:color w:val="auto"/>
          <w:kern w:val="2"/>
          <w:sz w:val="24"/>
          <w:szCs w:val="24"/>
          <w:lang w:val="en-US" w:eastAsia="zh-CN" w:bidi="ar-SA"/>
        </w:rPr>
        <w:t>剧</w:t>
      </w:r>
      <w:r>
        <w:rPr>
          <w:rFonts w:hint="default" w:asciiTheme="minorEastAsia" w:hAnsiTheme="minorEastAsia" w:eastAsiaTheme="minorEastAsia" w:cstheme="minorEastAsia"/>
          <w:color w:val="auto"/>
          <w:kern w:val="2"/>
          <w:sz w:val="24"/>
          <w:szCs w:val="24"/>
          <w:lang w:val="en-US" w:eastAsia="zh-CN" w:bidi="ar-SA"/>
        </w:rPr>
        <w:t>院的出入口、大堂、</w:t>
      </w:r>
      <w:r>
        <w:rPr>
          <w:rFonts w:hint="eastAsia" w:asciiTheme="minorEastAsia" w:hAnsiTheme="minorEastAsia" w:eastAsiaTheme="minorEastAsia" w:cstheme="minorEastAsia"/>
          <w:color w:val="auto"/>
          <w:kern w:val="2"/>
          <w:sz w:val="24"/>
          <w:szCs w:val="24"/>
          <w:lang w:val="en-US" w:eastAsia="zh-CN" w:bidi="ar-SA"/>
        </w:rPr>
        <w:t>大堂独立经营区域</w:t>
      </w:r>
      <w:r>
        <w:rPr>
          <w:rFonts w:hint="default" w:asciiTheme="minorEastAsia" w:hAnsiTheme="minorEastAsia" w:eastAsiaTheme="minorEastAsia" w:cstheme="minorEastAsia"/>
          <w:color w:val="auto"/>
          <w:kern w:val="2"/>
          <w:sz w:val="24"/>
          <w:szCs w:val="24"/>
          <w:lang w:val="en-US" w:eastAsia="zh-CN" w:bidi="ar-SA"/>
        </w:rPr>
        <w:t>、休息区、</w:t>
      </w:r>
      <w:r>
        <w:rPr>
          <w:rFonts w:hint="eastAsia" w:asciiTheme="minorEastAsia" w:hAnsiTheme="minorEastAsia" w:eastAsiaTheme="minorEastAsia" w:cstheme="minorEastAsia"/>
          <w:color w:val="auto"/>
          <w:kern w:val="2"/>
          <w:sz w:val="24"/>
          <w:szCs w:val="24"/>
          <w:lang w:val="en-US" w:eastAsia="zh-CN" w:bidi="ar-SA"/>
        </w:rPr>
        <w:t>观众厅（舞台区域、观众座席）、VIP休息区域、办公室</w:t>
      </w:r>
      <w:r>
        <w:rPr>
          <w:rFonts w:hint="default" w:asciiTheme="minorEastAsia" w:hAnsiTheme="minorEastAsia" w:eastAsia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演出控制室、化妆间、</w:t>
      </w:r>
      <w:r>
        <w:rPr>
          <w:rFonts w:hint="default" w:asciiTheme="minorEastAsia" w:hAnsiTheme="minorEastAsia" w:eastAsiaTheme="minorEastAsia" w:cstheme="minorEastAsia"/>
          <w:color w:val="auto"/>
          <w:kern w:val="2"/>
          <w:sz w:val="24"/>
          <w:szCs w:val="24"/>
          <w:lang w:val="en-US" w:eastAsia="zh-CN" w:bidi="ar-SA"/>
        </w:rPr>
        <w:t>拓展空间、</w:t>
      </w:r>
      <w:r>
        <w:rPr>
          <w:rFonts w:hint="eastAsia" w:asciiTheme="minorEastAsia" w:hAnsiTheme="minorEastAsia" w:eastAsiaTheme="minorEastAsia" w:cstheme="minorEastAsia"/>
          <w:color w:val="auto"/>
          <w:kern w:val="2"/>
          <w:sz w:val="24"/>
          <w:szCs w:val="24"/>
          <w:lang w:val="en-US" w:eastAsia="zh-CN" w:bidi="ar-SA"/>
        </w:rPr>
        <w:t>设备</w:t>
      </w:r>
      <w:r>
        <w:rPr>
          <w:rFonts w:hint="default" w:asciiTheme="minorEastAsia" w:hAnsiTheme="minorEastAsia" w:eastAsiaTheme="minorEastAsia" w:cstheme="minorEastAsia"/>
          <w:color w:val="auto"/>
          <w:kern w:val="2"/>
          <w:sz w:val="24"/>
          <w:szCs w:val="24"/>
          <w:lang w:val="en-US" w:eastAsia="zh-CN" w:bidi="ar-SA"/>
        </w:rPr>
        <w:t>机房、卫生间、食品操作间、仓库、</w:t>
      </w:r>
      <w:r>
        <w:rPr>
          <w:rFonts w:hint="eastAsia" w:asciiTheme="minorEastAsia" w:hAnsiTheme="minorEastAsia" w:eastAsiaTheme="minorEastAsia" w:cstheme="minorEastAsia"/>
          <w:color w:val="auto"/>
          <w:kern w:val="2"/>
          <w:sz w:val="24"/>
          <w:szCs w:val="24"/>
          <w:lang w:val="en-US" w:eastAsia="zh-CN" w:bidi="ar-SA"/>
        </w:rPr>
        <w:t>通道、</w:t>
      </w:r>
      <w:r>
        <w:rPr>
          <w:rFonts w:hint="default" w:asciiTheme="minorEastAsia" w:hAnsiTheme="minorEastAsia" w:eastAsiaTheme="minorEastAsia" w:cstheme="minorEastAsia"/>
          <w:color w:val="auto"/>
          <w:kern w:val="2"/>
          <w:sz w:val="24"/>
          <w:szCs w:val="24"/>
          <w:lang w:val="en-US" w:eastAsia="zh-CN" w:bidi="ar-SA"/>
        </w:rPr>
        <w:t>消防楼梯等功能区域）、</w:t>
      </w:r>
      <w:r>
        <w:rPr>
          <w:rFonts w:hint="eastAsia" w:asciiTheme="minorEastAsia" w:hAnsiTheme="minorEastAsia" w:eastAsiaTheme="minorEastAsia" w:cstheme="minorEastAsia"/>
          <w:color w:val="auto"/>
          <w:kern w:val="2"/>
          <w:sz w:val="24"/>
          <w:szCs w:val="24"/>
          <w:lang w:val="en-US" w:eastAsia="zh-CN" w:bidi="ar-SA"/>
        </w:rPr>
        <w:t>商业动线和运营动线设计、增设电梯功能设计（含土建改造、机电配置）、</w:t>
      </w:r>
      <w:r>
        <w:rPr>
          <w:rFonts w:hint="default" w:asciiTheme="minorEastAsia" w:hAnsiTheme="minorEastAsia" w:eastAsiaTheme="minorEastAsia" w:cstheme="minorEastAsia"/>
          <w:color w:val="auto"/>
          <w:kern w:val="2"/>
          <w:sz w:val="24"/>
          <w:szCs w:val="24"/>
          <w:lang w:val="en-US" w:eastAsia="zh-CN" w:bidi="ar-SA"/>
        </w:rPr>
        <w:t>室内装饰设计</w:t>
      </w:r>
      <w:r>
        <w:rPr>
          <w:rFonts w:hint="eastAsia" w:asciiTheme="minorEastAsia" w:hAnsiTheme="minorEastAsia" w:eastAsiaTheme="minorEastAsia" w:cstheme="minorEastAsia"/>
          <w:color w:val="auto"/>
          <w:kern w:val="2"/>
          <w:sz w:val="24"/>
          <w:szCs w:val="24"/>
          <w:lang w:val="en-US" w:eastAsia="zh-CN" w:bidi="ar-SA"/>
        </w:rPr>
        <w:t>、效果图设计、剧院</w:t>
      </w:r>
      <w:r>
        <w:rPr>
          <w:rFonts w:hint="default" w:asciiTheme="minorEastAsia" w:hAnsiTheme="minorEastAsia" w:eastAsiaTheme="minorEastAsia" w:cstheme="minorEastAsia"/>
          <w:color w:val="auto"/>
          <w:kern w:val="2"/>
          <w:sz w:val="24"/>
          <w:szCs w:val="24"/>
          <w:lang w:val="en-US" w:eastAsia="zh-CN" w:bidi="ar-SA"/>
        </w:rPr>
        <w:t>工艺（含建声设计、电声设计、</w:t>
      </w:r>
      <w:r>
        <w:rPr>
          <w:rFonts w:hint="eastAsia" w:asciiTheme="minorEastAsia" w:hAnsiTheme="minorEastAsia" w:eastAsiaTheme="minorEastAsia" w:cstheme="minorEastAsia"/>
          <w:color w:val="auto"/>
          <w:kern w:val="2"/>
          <w:sz w:val="24"/>
          <w:szCs w:val="24"/>
          <w:lang w:val="en-US" w:eastAsia="zh-CN" w:bidi="ar-SA"/>
        </w:rPr>
        <w:t>剧院看台</w:t>
      </w:r>
      <w:r>
        <w:rPr>
          <w:rFonts w:hint="default" w:asciiTheme="minorEastAsia" w:hAnsiTheme="minorEastAsia" w:eastAsiaTheme="minorEastAsia" w:cstheme="minorEastAsia"/>
          <w:color w:val="auto"/>
          <w:kern w:val="2"/>
          <w:sz w:val="24"/>
          <w:szCs w:val="24"/>
          <w:lang w:val="en-US" w:eastAsia="zh-CN" w:bidi="ar-SA"/>
        </w:rPr>
        <w:t>工艺设计）、弱电系统设计（含监控系统、弱电系统、网络系统</w:t>
      </w:r>
      <w:r>
        <w:rPr>
          <w:rFonts w:hint="eastAsia" w:asciiTheme="minorEastAsia" w:hAnsiTheme="minorEastAsia" w:eastAsiaTheme="minorEastAsia" w:cstheme="minorEastAsia"/>
          <w:color w:val="auto"/>
          <w:kern w:val="2"/>
          <w:sz w:val="24"/>
          <w:szCs w:val="24"/>
          <w:lang w:val="en-US" w:eastAsia="zh-CN" w:bidi="ar-SA"/>
        </w:rPr>
        <w:t>、门禁监控系统</w:t>
      </w:r>
      <w:r>
        <w:rPr>
          <w:rFonts w:hint="default" w:asciiTheme="minorEastAsia" w:hAnsiTheme="minorEastAsia" w:eastAsiaTheme="minorEastAsia" w:cstheme="minorEastAsia"/>
          <w:color w:val="auto"/>
          <w:kern w:val="2"/>
          <w:sz w:val="24"/>
          <w:szCs w:val="24"/>
          <w:lang w:val="en-US" w:eastAsia="zh-CN" w:bidi="ar-SA"/>
        </w:rPr>
        <w:t>）</w:t>
      </w:r>
      <w:r>
        <w:rPr>
          <w:rFonts w:hint="eastAsia" w:asciiTheme="minorEastAsia" w:hAnsiTheme="minorEastAsia" w:eastAsiaTheme="minorEastAsia" w:cstheme="minorEastAsia"/>
          <w:color w:val="auto"/>
          <w:kern w:val="2"/>
          <w:sz w:val="24"/>
          <w:szCs w:val="24"/>
          <w:lang w:val="en-US" w:eastAsia="zh-CN" w:bidi="ar-SA"/>
        </w:rPr>
        <w:t>、</w:t>
      </w:r>
      <w:r>
        <w:rPr>
          <w:rFonts w:hint="default" w:asciiTheme="minorEastAsia" w:hAnsiTheme="minorEastAsia" w:eastAsiaTheme="minorEastAsia" w:cstheme="minorEastAsia"/>
          <w:color w:val="auto"/>
          <w:kern w:val="2"/>
          <w:sz w:val="24"/>
          <w:szCs w:val="24"/>
          <w:lang w:val="en-US" w:eastAsia="zh-CN" w:bidi="ar-SA"/>
        </w:rPr>
        <w:t>消防系统、</w:t>
      </w:r>
      <w:r>
        <w:rPr>
          <w:rFonts w:hint="default" w:asciiTheme="minorEastAsia" w:hAnsiTheme="minorEastAsia" w:eastAsiaTheme="minorEastAsia" w:cstheme="minorEastAsia"/>
          <w:kern w:val="2"/>
          <w:sz w:val="24"/>
          <w:szCs w:val="24"/>
          <w:lang w:val="en-US" w:eastAsia="zh-CN" w:bidi="ar-SA"/>
        </w:rPr>
        <w:t>空调系统、</w:t>
      </w:r>
      <w:r>
        <w:rPr>
          <w:rFonts w:hint="eastAsia" w:asciiTheme="minorEastAsia" w:hAnsiTheme="minorEastAsia" w:eastAsiaTheme="minorEastAsia" w:cstheme="minorEastAsia"/>
          <w:kern w:val="2"/>
          <w:sz w:val="24"/>
          <w:szCs w:val="24"/>
          <w:lang w:val="en-US" w:eastAsia="zh-CN" w:bidi="ar-SA"/>
        </w:rPr>
        <w:t>机电系统设计、标识标牌设计、等项目</w:t>
      </w:r>
      <w:r>
        <w:rPr>
          <w:rFonts w:hint="default" w:asciiTheme="minorEastAsia" w:hAnsiTheme="minorEastAsia" w:eastAsiaTheme="minorEastAsia" w:cstheme="minorEastAsia"/>
          <w:kern w:val="2"/>
          <w:sz w:val="24"/>
          <w:szCs w:val="24"/>
          <w:lang w:val="en-US" w:eastAsia="zh-CN" w:bidi="ar-SA"/>
        </w:rPr>
        <w:t>进行综合设计</w:t>
      </w:r>
      <w:r>
        <w:rPr>
          <w:rFonts w:hint="eastAsia" w:asciiTheme="minorEastAsia" w:hAnsiTheme="minorEastAsia" w:eastAsiaTheme="minorEastAsia" w:cstheme="minorEastAsia"/>
          <w:kern w:val="2"/>
          <w:sz w:val="24"/>
          <w:szCs w:val="24"/>
          <w:lang w:val="en-US" w:eastAsia="zh-CN" w:bidi="ar-SA"/>
        </w:rPr>
        <w:t>并提供设计施工图及对应的工程预算清单</w:t>
      </w:r>
      <w:r>
        <w:rPr>
          <w:rFonts w:hint="default" w:asciiTheme="minorEastAsia" w:hAnsiTheme="minorEastAsia" w:eastAsiaTheme="minorEastAsia" w:cstheme="minorEastAsia"/>
          <w:kern w:val="2"/>
          <w:sz w:val="24"/>
          <w:szCs w:val="24"/>
          <w:lang w:val="en-US" w:eastAsia="zh-CN" w:bidi="ar-SA"/>
        </w:rPr>
        <w:t>。</w:t>
      </w:r>
    </w:p>
    <w:p w14:paraId="6FBBA04D">
      <w:pPr>
        <w:pStyle w:val="12"/>
        <w:keepNext w:val="0"/>
        <w:keepLines w:val="0"/>
        <w:pageBreakBefore w:val="0"/>
        <w:widowControl w:val="0"/>
        <w:numPr>
          <w:ilvl w:val="0"/>
          <w:numId w:val="0"/>
        </w:numPr>
        <w:kinsoku/>
        <w:wordWrap/>
        <w:overflowPunct/>
        <w:topLinePunct w:val="0"/>
        <w:bidi w:val="0"/>
        <w:snapToGrid/>
        <w:spacing w:line="360" w:lineRule="auto"/>
        <w:jc w:val="both"/>
        <w:rPr>
          <w:rFonts w:hint="default"/>
          <w:sz w:val="21"/>
          <w:szCs w:val="21"/>
          <w:lang w:val="en-US" w:eastAsia="zh-CN"/>
        </w:rPr>
      </w:pPr>
    </w:p>
    <w:p w14:paraId="5C5D904F">
      <w:pPr>
        <w:pStyle w:val="12"/>
        <w:keepNext w:val="0"/>
        <w:keepLines w:val="0"/>
        <w:pageBreakBefore w:val="0"/>
        <w:widowControl w:val="0"/>
        <w:numPr>
          <w:ilvl w:val="0"/>
          <w:numId w:val="0"/>
        </w:numPr>
        <w:kinsoku/>
        <w:wordWrap/>
        <w:overflowPunct/>
        <w:topLinePunct w:val="0"/>
        <w:bidi w:val="0"/>
        <w:snapToGrid/>
        <w:spacing w:line="360" w:lineRule="auto"/>
        <w:jc w:val="both"/>
        <w:rPr>
          <w:rFonts w:hint="default"/>
          <w:sz w:val="21"/>
          <w:szCs w:val="21"/>
          <w:lang w:val="en-US" w:eastAsia="zh-CN"/>
        </w:rPr>
      </w:pPr>
      <w:r>
        <w:rPr>
          <w:rFonts w:hint="eastAsia"/>
          <w:sz w:val="21"/>
          <w:szCs w:val="21"/>
          <w:lang w:val="en-US" w:eastAsia="zh-CN"/>
        </w:rPr>
        <w:t>3</w:t>
      </w:r>
      <w:r>
        <w:rPr>
          <w:rFonts w:hint="default"/>
          <w:sz w:val="21"/>
          <w:szCs w:val="21"/>
          <w:lang w:val="en-US" w:eastAsia="zh-CN"/>
        </w:rPr>
        <w:t>.设计</w:t>
      </w:r>
      <w:r>
        <w:rPr>
          <w:rFonts w:hint="eastAsia"/>
          <w:sz w:val="21"/>
          <w:szCs w:val="21"/>
          <w:lang w:val="en-US" w:eastAsia="zh-CN"/>
        </w:rPr>
        <w:t>要求</w:t>
      </w:r>
      <w:r>
        <w:rPr>
          <w:rFonts w:hint="default"/>
          <w:sz w:val="21"/>
          <w:szCs w:val="21"/>
          <w:lang w:val="en-US" w:eastAsia="zh-CN"/>
        </w:rPr>
        <w:t>：</w:t>
      </w:r>
    </w:p>
    <w:p w14:paraId="222E21C7">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2.3.1剧</w:t>
      </w:r>
      <w:r>
        <w:rPr>
          <w:rFonts w:hint="default"/>
          <w:sz w:val="21"/>
          <w:szCs w:val="21"/>
          <w:lang w:val="en-US" w:eastAsia="zh-CN"/>
        </w:rPr>
        <w:t>院消防系统</w:t>
      </w:r>
    </w:p>
    <w:p w14:paraId="007274B5">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(1)按物业交场的现状，进行符合</w:t>
      </w:r>
      <w:r>
        <w:rPr>
          <w:rFonts w:hint="eastAsia"/>
          <w:sz w:val="21"/>
          <w:szCs w:val="21"/>
          <w:lang w:val="en-US" w:eastAsia="zh-CN"/>
        </w:rPr>
        <w:t>剧</w:t>
      </w:r>
      <w:r>
        <w:rPr>
          <w:rFonts w:hint="default"/>
          <w:sz w:val="21"/>
          <w:szCs w:val="21"/>
          <w:lang w:val="en-US" w:eastAsia="zh-CN"/>
        </w:rPr>
        <w:t>院要求的消防系统、消防分区设计。</w:t>
      </w:r>
    </w:p>
    <w:p w14:paraId="6E41073C">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w:t>
      </w:r>
      <w:r>
        <w:rPr>
          <w:rFonts w:hint="eastAsia"/>
          <w:sz w:val="21"/>
          <w:szCs w:val="21"/>
          <w:lang w:val="en-US" w:eastAsia="zh-CN"/>
        </w:rPr>
        <w:t>剧</w:t>
      </w:r>
      <w:r>
        <w:rPr>
          <w:rFonts w:hint="default"/>
          <w:sz w:val="21"/>
          <w:szCs w:val="21"/>
          <w:lang w:val="en-US" w:eastAsia="zh-CN"/>
        </w:rPr>
        <w:t>院内需要设置消防中心。</w:t>
      </w:r>
    </w:p>
    <w:p w14:paraId="2DC4A61C">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(3)消防设计需要提供包括并不限于消防动线疏散图，消防合规性设计图、施工图、清单及说明文件，提供</w:t>
      </w:r>
      <w:r>
        <w:rPr>
          <w:rFonts w:hint="eastAsia"/>
          <w:sz w:val="21"/>
          <w:szCs w:val="21"/>
          <w:lang w:val="en-US" w:eastAsia="zh-CN"/>
        </w:rPr>
        <w:t>剧院</w:t>
      </w:r>
      <w:r>
        <w:rPr>
          <w:rFonts w:hint="default"/>
          <w:sz w:val="21"/>
          <w:szCs w:val="21"/>
          <w:lang w:val="en-US" w:eastAsia="zh-CN"/>
        </w:rPr>
        <w:t>装修材料规范性文件，提供</w:t>
      </w:r>
      <w:r>
        <w:rPr>
          <w:rFonts w:hint="eastAsia"/>
          <w:sz w:val="21"/>
          <w:szCs w:val="21"/>
          <w:lang w:val="en-US" w:eastAsia="zh-CN"/>
        </w:rPr>
        <w:t>剧院</w:t>
      </w:r>
      <w:r>
        <w:rPr>
          <w:rFonts w:hint="default"/>
          <w:sz w:val="21"/>
          <w:szCs w:val="21"/>
          <w:lang w:val="en-US" w:eastAsia="zh-CN"/>
        </w:rPr>
        <w:t>消防管理规范文件，提供</w:t>
      </w:r>
      <w:r>
        <w:rPr>
          <w:rFonts w:hint="eastAsia"/>
          <w:sz w:val="21"/>
          <w:szCs w:val="21"/>
          <w:lang w:val="en-US" w:eastAsia="zh-CN"/>
        </w:rPr>
        <w:t>剧院</w:t>
      </w:r>
      <w:r>
        <w:rPr>
          <w:rFonts w:hint="default"/>
          <w:sz w:val="21"/>
          <w:szCs w:val="21"/>
          <w:lang w:val="en-US" w:eastAsia="zh-CN"/>
        </w:rPr>
        <w:t>办理消防证照过程中所有的图纸资料、说明文件及技术支持，</w:t>
      </w:r>
      <w:r>
        <w:rPr>
          <w:rFonts w:hint="eastAsia"/>
          <w:sz w:val="21"/>
          <w:szCs w:val="21"/>
          <w:lang w:val="en-US" w:eastAsia="zh-CN"/>
        </w:rPr>
        <w:t>剧院</w:t>
      </w:r>
      <w:r>
        <w:rPr>
          <w:rFonts w:hint="default"/>
          <w:sz w:val="21"/>
          <w:szCs w:val="21"/>
          <w:lang w:val="en-US" w:eastAsia="zh-CN"/>
        </w:rPr>
        <w:t>项目竣工验收的整套图纸资料。</w:t>
      </w:r>
    </w:p>
    <w:p w14:paraId="43C2586D">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2</w:t>
      </w:r>
      <w:r>
        <w:rPr>
          <w:rFonts w:hint="default"/>
          <w:sz w:val="21"/>
          <w:szCs w:val="21"/>
          <w:lang w:val="en-US" w:eastAsia="zh-CN"/>
        </w:rPr>
        <w:t>.3.2</w:t>
      </w:r>
      <w:r>
        <w:rPr>
          <w:rFonts w:hint="eastAsia"/>
          <w:sz w:val="21"/>
          <w:szCs w:val="21"/>
          <w:lang w:val="en-US" w:eastAsia="zh-CN"/>
        </w:rPr>
        <w:t>剧</w:t>
      </w:r>
      <w:r>
        <w:rPr>
          <w:rFonts w:hint="default"/>
          <w:sz w:val="21"/>
          <w:szCs w:val="21"/>
          <w:lang w:val="en-US" w:eastAsia="zh-CN"/>
        </w:rPr>
        <w:t>院空调系统</w:t>
      </w:r>
    </w:p>
    <w:p w14:paraId="2327F703">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(1)按物业交场的现状，进行符合</w:t>
      </w:r>
      <w:r>
        <w:rPr>
          <w:rFonts w:hint="eastAsia"/>
          <w:sz w:val="21"/>
          <w:szCs w:val="21"/>
          <w:lang w:val="en-US" w:eastAsia="zh-CN"/>
        </w:rPr>
        <w:t>剧院</w:t>
      </w:r>
      <w:r>
        <w:rPr>
          <w:rFonts w:hint="default"/>
          <w:sz w:val="21"/>
          <w:szCs w:val="21"/>
          <w:lang w:val="en-US" w:eastAsia="zh-CN"/>
        </w:rPr>
        <w:t>要求的空调系统设计。</w:t>
      </w:r>
    </w:p>
    <w:p w14:paraId="256407D5">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w:t>
      </w:r>
      <w:r>
        <w:rPr>
          <w:rFonts w:hint="eastAsia"/>
          <w:sz w:val="21"/>
          <w:szCs w:val="21"/>
          <w:lang w:val="en-US" w:eastAsia="zh-CN"/>
        </w:rPr>
        <w:t>剧院</w:t>
      </w:r>
      <w:r>
        <w:rPr>
          <w:rFonts w:hint="default"/>
          <w:sz w:val="21"/>
          <w:szCs w:val="21"/>
          <w:lang w:val="en-US" w:eastAsia="zh-CN"/>
        </w:rPr>
        <w:t>采用独立空调系统，</w:t>
      </w:r>
      <w:r>
        <w:rPr>
          <w:rFonts w:hint="eastAsia"/>
          <w:sz w:val="21"/>
          <w:szCs w:val="21"/>
          <w:lang w:val="en-US" w:eastAsia="zh-CN"/>
        </w:rPr>
        <w:t>采取分楼层分区域配置及控制</w:t>
      </w:r>
      <w:r>
        <w:rPr>
          <w:rFonts w:hint="default"/>
          <w:sz w:val="21"/>
          <w:szCs w:val="21"/>
          <w:lang w:val="en-US" w:eastAsia="zh-CN"/>
        </w:rPr>
        <w:t>。</w:t>
      </w:r>
    </w:p>
    <w:p w14:paraId="71BF5E7E">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(3)设计上优先采用节能、并能降低使用成本的方案。</w:t>
      </w:r>
    </w:p>
    <w:p w14:paraId="7136F452">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(5)设计上需要符合</w:t>
      </w:r>
      <w:r>
        <w:rPr>
          <w:rFonts w:hint="eastAsia"/>
          <w:sz w:val="21"/>
          <w:szCs w:val="21"/>
          <w:lang w:val="en-US" w:eastAsia="zh-CN"/>
        </w:rPr>
        <w:t>剧</w:t>
      </w:r>
      <w:r>
        <w:rPr>
          <w:rFonts w:hint="default"/>
          <w:sz w:val="21"/>
          <w:szCs w:val="21"/>
          <w:lang w:val="en-US" w:eastAsia="zh-CN"/>
        </w:rPr>
        <w:t>院技术标准尤其噪声、冷量及新风等主要指标。</w:t>
      </w:r>
    </w:p>
    <w:p w14:paraId="3882B310">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(6)针对卖品部、操作间、卫生间、拓展空间等功能性空间的新风及排风系统进行使用特点进行重点设计。</w:t>
      </w:r>
    </w:p>
    <w:p w14:paraId="46FE5D7B">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(7)空调设计需要提供包括并不限于空调系统图，合规性设计图及说明文件，提供</w:t>
      </w:r>
      <w:r>
        <w:rPr>
          <w:rFonts w:hint="eastAsia"/>
          <w:sz w:val="21"/>
          <w:szCs w:val="21"/>
          <w:lang w:val="en-US" w:eastAsia="zh-CN"/>
        </w:rPr>
        <w:t>剧院</w:t>
      </w:r>
      <w:r>
        <w:rPr>
          <w:rFonts w:hint="default"/>
          <w:sz w:val="21"/>
          <w:szCs w:val="21"/>
          <w:lang w:val="en-US" w:eastAsia="zh-CN"/>
        </w:rPr>
        <w:t>消防管理规范文件，提供</w:t>
      </w:r>
      <w:r>
        <w:rPr>
          <w:rFonts w:hint="eastAsia"/>
          <w:sz w:val="21"/>
          <w:szCs w:val="21"/>
          <w:lang w:val="en-US" w:eastAsia="zh-CN"/>
        </w:rPr>
        <w:t>剧院</w:t>
      </w:r>
      <w:r>
        <w:rPr>
          <w:rFonts w:hint="default"/>
          <w:sz w:val="21"/>
          <w:szCs w:val="21"/>
          <w:lang w:val="en-US" w:eastAsia="zh-CN"/>
        </w:rPr>
        <w:t>办理食品安全及放映许可证照过程中所有的图纸资料、说明文件及技术支持，</w:t>
      </w:r>
      <w:r>
        <w:rPr>
          <w:rFonts w:hint="eastAsia"/>
          <w:sz w:val="21"/>
          <w:szCs w:val="21"/>
          <w:lang w:val="en-US" w:eastAsia="zh-CN"/>
        </w:rPr>
        <w:t>剧院</w:t>
      </w:r>
      <w:r>
        <w:rPr>
          <w:rFonts w:hint="default"/>
          <w:sz w:val="21"/>
          <w:szCs w:val="21"/>
          <w:lang w:val="en-US" w:eastAsia="zh-CN"/>
        </w:rPr>
        <w:t>项目竣工验收的整套图纸资料。</w:t>
      </w:r>
    </w:p>
    <w:p w14:paraId="17695EDB">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2</w:t>
      </w:r>
      <w:r>
        <w:rPr>
          <w:rFonts w:hint="default"/>
          <w:sz w:val="21"/>
          <w:szCs w:val="21"/>
          <w:lang w:val="en-US" w:eastAsia="zh-CN"/>
        </w:rPr>
        <w:t>.3.3</w:t>
      </w:r>
      <w:r>
        <w:rPr>
          <w:rFonts w:hint="eastAsia"/>
          <w:sz w:val="21"/>
          <w:szCs w:val="21"/>
          <w:lang w:val="en-US" w:eastAsia="zh-CN"/>
        </w:rPr>
        <w:t>剧院</w:t>
      </w:r>
      <w:r>
        <w:rPr>
          <w:rFonts w:hint="default"/>
          <w:sz w:val="21"/>
          <w:szCs w:val="21"/>
          <w:lang w:val="en-US" w:eastAsia="zh-CN"/>
        </w:rPr>
        <w:t>平面布局及各功能区要求</w:t>
      </w:r>
    </w:p>
    <w:p w14:paraId="316A76A1">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w:t>
      </w:r>
      <w:r>
        <w:rPr>
          <w:rFonts w:hint="eastAsia"/>
          <w:sz w:val="21"/>
          <w:szCs w:val="21"/>
          <w:lang w:val="en-US" w:eastAsia="zh-CN"/>
        </w:rPr>
        <w:t>剧院</w:t>
      </w:r>
      <w:r>
        <w:rPr>
          <w:rFonts w:hint="default"/>
          <w:sz w:val="21"/>
          <w:szCs w:val="21"/>
          <w:lang w:val="en-US" w:eastAsia="zh-CN"/>
        </w:rPr>
        <w:t>平面规划深化设计：</w:t>
      </w:r>
    </w:p>
    <w:p w14:paraId="6492776C">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1)要求对</w:t>
      </w:r>
      <w:r>
        <w:rPr>
          <w:rFonts w:hint="eastAsia"/>
          <w:sz w:val="21"/>
          <w:szCs w:val="21"/>
          <w:lang w:val="en-US" w:eastAsia="zh-CN"/>
        </w:rPr>
        <w:t>剧院</w:t>
      </w:r>
      <w:r>
        <w:rPr>
          <w:rFonts w:hint="default"/>
          <w:sz w:val="21"/>
          <w:szCs w:val="21"/>
          <w:lang w:val="en-US" w:eastAsia="zh-CN"/>
        </w:rPr>
        <w:t>进行全面尺寸复核，并测绘出总平面及立面及各功能用房图纸。</w:t>
      </w:r>
    </w:p>
    <w:p w14:paraId="0A8CE04D">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2)要求功能性用房布局合理，符合</w:t>
      </w:r>
      <w:r>
        <w:rPr>
          <w:rFonts w:hint="eastAsia"/>
          <w:sz w:val="21"/>
          <w:szCs w:val="21"/>
          <w:lang w:val="en-US" w:eastAsia="zh-CN"/>
        </w:rPr>
        <w:t>剧院</w:t>
      </w:r>
      <w:r>
        <w:rPr>
          <w:rFonts w:hint="default"/>
          <w:sz w:val="21"/>
          <w:szCs w:val="21"/>
          <w:lang w:val="en-US" w:eastAsia="zh-CN"/>
        </w:rPr>
        <w:t>及期配合商业业态布局方式，因地制宜，尺寸适中符合规范；</w:t>
      </w:r>
    </w:p>
    <w:p w14:paraId="71F2B696">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3)要求商业动线流线清晰，充分利用</w:t>
      </w:r>
      <w:r>
        <w:rPr>
          <w:rFonts w:hint="eastAsia"/>
          <w:sz w:val="21"/>
          <w:szCs w:val="21"/>
          <w:lang w:val="en-US" w:eastAsia="zh-CN"/>
        </w:rPr>
        <w:t>剧院</w:t>
      </w:r>
      <w:r>
        <w:rPr>
          <w:rFonts w:hint="default"/>
          <w:sz w:val="21"/>
          <w:szCs w:val="21"/>
          <w:lang w:val="en-US" w:eastAsia="zh-CN"/>
        </w:rPr>
        <w:t>观众人流，同时需要满足消防标准规范。</w:t>
      </w:r>
    </w:p>
    <w:p w14:paraId="1A1B1BA4">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w:t>
      </w:r>
      <w:r>
        <w:rPr>
          <w:rFonts w:hint="eastAsia"/>
          <w:sz w:val="21"/>
          <w:szCs w:val="21"/>
          <w:lang w:val="en-US" w:eastAsia="zh-CN"/>
        </w:rPr>
        <w:t>剧院</w:t>
      </w:r>
      <w:r>
        <w:rPr>
          <w:rFonts w:hint="default"/>
          <w:sz w:val="21"/>
          <w:szCs w:val="21"/>
          <w:lang w:val="en-US" w:eastAsia="zh-CN"/>
        </w:rPr>
        <w:t>大堂</w:t>
      </w:r>
      <w:r>
        <w:rPr>
          <w:rFonts w:hint="eastAsia"/>
          <w:sz w:val="21"/>
          <w:szCs w:val="21"/>
          <w:lang w:val="en-US" w:eastAsia="zh-CN"/>
        </w:rPr>
        <w:t>及独立经营区域</w:t>
      </w:r>
      <w:r>
        <w:rPr>
          <w:rFonts w:hint="default"/>
          <w:sz w:val="21"/>
          <w:szCs w:val="21"/>
          <w:lang w:val="en-US" w:eastAsia="zh-CN"/>
        </w:rPr>
        <w:t>：</w:t>
      </w:r>
    </w:p>
    <w:p w14:paraId="6817D02B">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1)体现整体风格、突出</w:t>
      </w:r>
      <w:r>
        <w:rPr>
          <w:rFonts w:hint="eastAsia"/>
          <w:sz w:val="21"/>
          <w:szCs w:val="21"/>
          <w:lang w:val="en-US" w:eastAsia="zh-CN"/>
        </w:rPr>
        <w:t>海珠大戏院</w:t>
      </w:r>
      <w:r>
        <w:rPr>
          <w:rFonts w:hint="default"/>
          <w:sz w:val="21"/>
          <w:szCs w:val="21"/>
          <w:lang w:val="en-US" w:eastAsia="zh-CN"/>
        </w:rPr>
        <w:t>历史传承及延续实现出新出彩的新理念。</w:t>
      </w:r>
    </w:p>
    <w:p w14:paraId="41D0FEE4">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2)大堂要求采用在消防条件允许的情况下，创新</w:t>
      </w:r>
      <w:r>
        <w:rPr>
          <w:rFonts w:hint="eastAsia"/>
          <w:sz w:val="21"/>
          <w:szCs w:val="21"/>
          <w:lang w:val="en-US" w:eastAsia="zh-CN"/>
        </w:rPr>
        <w:t>剧院</w:t>
      </w:r>
      <w:r>
        <w:rPr>
          <w:rFonts w:hint="default"/>
          <w:sz w:val="21"/>
          <w:szCs w:val="21"/>
          <w:lang w:val="en-US" w:eastAsia="zh-CN"/>
        </w:rPr>
        <w:t>入口设计。</w:t>
      </w:r>
    </w:p>
    <w:p w14:paraId="3C62ED04">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3)要求大堂设置背景墙，灯饰、信息电子显示屏等。</w:t>
      </w:r>
    </w:p>
    <w:p w14:paraId="4258250E">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4)充分利用大堂空间，设置符合</w:t>
      </w:r>
      <w:r>
        <w:rPr>
          <w:rFonts w:hint="eastAsia"/>
          <w:sz w:val="21"/>
          <w:szCs w:val="21"/>
          <w:lang w:val="en-US" w:eastAsia="zh-CN"/>
        </w:rPr>
        <w:t>剧院</w:t>
      </w:r>
      <w:r>
        <w:rPr>
          <w:rFonts w:hint="default"/>
          <w:sz w:val="21"/>
          <w:szCs w:val="21"/>
          <w:lang w:val="en-US" w:eastAsia="zh-CN"/>
        </w:rPr>
        <w:t>经营特点观众休息区域。</w:t>
      </w:r>
    </w:p>
    <w:p w14:paraId="449DB9D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(3)VIP休息区域：</w:t>
      </w:r>
    </w:p>
    <w:p w14:paraId="527EDEB5">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1)体现整体风格，合理利用</w:t>
      </w:r>
      <w:r>
        <w:rPr>
          <w:rFonts w:hint="eastAsia"/>
          <w:sz w:val="21"/>
          <w:szCs w:val="21"/>
          <w:lang w:val="en-US" w:eastAsia="zh-CN"/>
        </w:rPr>
        <w:t>海珠大戏院</w:t>
      </w:r>
      <w:r>
        <w:rPr>
          <w:rFonts w:hint="default"/>
          <w:sz w:val="21"/>
          <w:szCs w:val="21"/>
          <w:lang w:val="en-US" w:eastAsia="zh-CN"/>
        </w:rPr>
        <w:t>有效空间活化商场高层商圈。</w:t>
      </w:r>
    </w:p>
    <w:p w14:paraId="162A6503">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2)VIP休息室设置需要，充分考虑人流动线、舒适性、方便性及私密性。</w:t>
      </w:r>
    </w:p>
    <w:p w14:paraId="3B675BBA">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3)延续</w:t>
      </w:r>
      <w:r>
        <w:rPr>
          <w:rFonts w:hint="eastAsia"/>
          <w:sz w:val="21"/>
          <w:szCs w:val="21"/>
          <w:lang w:val="en-US" w:eastAsia="zh-CN"/>
        </w:rPr>
        <w:t>海珠大戏院</w:t>
      </w:r>
      <w:r>
        <w:rPr>
          <w:rFonts w:hint="default"/>
          <w:sz w:val="21"/>
          <w:szCs w:val="21"/>
          <w:lang w:val="en-US" w:eastAsia="zh-CN"/>
        </w:rPr>
        <w:t>文化底蕴、软装陈设与整体效果氛围相结合。</w:t>
      </w:r>
    </w:p>
    <w:p w14:paraId="75B4B12D">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(4)楼梯：</w:t>
      </w:r>
    </w:p>
    <w:p w14:paraId="14F495DA">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1)消防楼梯的装饰面需要考虑消防要求与美观相结合。</w:t>
      </w:r>
    </w:p>
    <w:p w14:paraId="09B6F08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2)从</w:t>
      </w:r>
      <w:r>
        <w:rPr>
          <w:rFonts w:hint="eastAsia"/>
          <w:sz w:val="21"/>
          <w:szCs w:val="21"/>
          <w:lang w:val="en-US" w:eastAsia="zh-CN"/>
        </w:rPr>
        <w:t>一楼到</w:t>
      </w:r>
      <w:r>
        <w:rPr>
          <w:rFonts w:hint="default"/>
          <w:sz w:val="21"/>
          <w:szCs w:val="21"/>
          <w:lang w:val="en-US" w:eastAsia="zh-CN"/>
        </w:rPr>
        <w:t>三楼位置的消防楼梯的装饰面需要考虑消防要求与美观性、整体性、实用性相结合。</w:t>
      </w:r>
    </w:p>
    <w:p w14:paraId="3460B9FB">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3)考虑</w:t>
      </w:r>
      <w:r>
        <w:rPr>
          <w:rFonts w:hint="eastAsia"/>
          <w:sz w:val="21"/>
          <w:szCs w:val="21"/>
          <w:lang w:val="en-US" w:eastAsia="zh-CN"/>
        </w:rPr>
        <w:t>各夹层空间</w:t>
      </w:r>
      <w:r>
        <w:rPr>
          <w:rFonts w:hint="default"/>
          <w:sz w:val="21"/>
          <w:szCs w:val="21"/>
          <w:lang w:val="en-US" w:eastAsia="zh-CN"/>
        </w:rPr>
        <w:t>的使用功能进行符合消防要求。</w:t>
      </w:r>
    </w:p>
    <w:p w14:paraId="519A9F06">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(5)</w:t>
      </w:r>
      <w:r>
        <w:rPr>
          <w:rFonts w:hint="eastAsia"/>
          <w:sz w:val="21"/>
          <w:szCs w:val="21"/>
          <w:lang w:val="en-US" w:eastAsia="zh-CN"/>
        </w:rPr>
        <w:t>剧院</w:t>
      </w:r>
      <w:r>
        <w:rPr>
          <w:rFonts w:hint="default"/>
          <w:sz w:val="21"/>
          <w:szCs w:val="21"/>
          <w:lang w:val="en-US" w:eastAsia="zh-CN"/>
        </w:rPr>
        <w:t>空间拓展设计</w:t>
      </w:r>
    </w:p>
    <w:p w14:paraId="3BFC27D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1)设计上遵循整体设计风格承担活化商业业态、遵循以人为本、尺地适宜、并符合当下审美需求的艺术长廊区域及博物馆空间设计。</w:t>
      </w:r>
    </w:p>
    <w:p w14:paraId="541FC161">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2)设计应考虑人员观展动线需求、展品进场间距等因素控制整体设计，内部装修应考虑到整体性及区域性。</w:t>
      </w:r>
    </w:p>
    <w:p w14:paraId="5218BFA1">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3)空间设计上应有相对应的指引标志，包含导识、安全出口、消防等。</w:t>
      </w:r>
    </w:p>
    <w:p w14:paraId="2B147E0E">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(6)仓库：要求对内部空间合理运用，内部布局设计储物空间因地制宜且充足。</w:t>
      </w:r>
    </w:p>
    <w:p w14:paraId="60642D11">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(7)食品操作间：</w:t>
      </w:r>
    </w:p>
    <w:p w14:paraId="0EA152C3">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1)要求布局合理，空间充分利用。</w:t>
      </w:r>
    </w:p>
    <w:p w14:paraId="28A06196">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2)要求设计充分考虑业态配置及办理证照的过程需要提供的合规性布局。</w:t>
      </w:r>
    </w:p>
    <w:p w14:paraId="478684E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3)要求设计油烟分离排风系统。</w:t>
      </w:r>
    </w:p>
    <w:p w14:paraId="70987D18">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4)要求设计新建油污隔离池。</w:t>
      </w:r>
    </w:p>
    <w:p w14:paraId="119117A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5)要求设计卖品部供水及排污的管道。</w:t>
      </w:r>
    </w:p>
    <w:p w14:paraId="1A58E22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6)考虑强弱电、给排水、照明问题。</w:t>
      </w:r>
    </w:p>
    <w:p w14:paraId="2C6D09C2">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(8)</w:t>
      </w:r>
      <w:r>
        <w:rPr>
          <w:rFonts w:hint="eastAsia"/>
          <w:sz w:val="21"/>
          <w:szCs w:val="21"/>
          <w:lang w:val="en-US" w:eastAsia="zh-CN"/>
        </w:rPr>
        <w:t>剧院观众厅</w:t>
      </w:r>
      <w:r>
        <w:rPr>
          <w:rFonts w:hint="default"/>
          <w:sz w:val="21"/>
          <w:szCs w:val="21"/>
          <w:lang w:val="en-US" w:eastAsia="zh-CN"/>
        </w:rPr>
        <w:t>：</w:t>
      </w:r>
    </w:p>
    <w:p w14:paraId="43102879">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1)总体要求：</w:t>
      </w:r>
    </w:p>
    <w:p w14:paraId="1C372FBC">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A.墙体设计要求</w:t>
      </w:r>
      <w:r>
        <w:rPr>
          <w:rFonts w:hint="eastAsia"/>
          <w:sz w:val="21"/>
          <w:szCs w:val="21"/>
          <w:lang w:val="en-US" w:eastAsia="zh-CN"/>
        </w:rPr>
        <w:t>符合海珠大戏院的现状</w:t>
      </w:r>
      <w:r>
        <w:rPr>
          <w:rFonts w:hint="default"/>
          <w:sz w:val="21"/>
          <w:szCs w:val="21"/>
          <w:lang w:val="en-US" w:eastAsia="zh-CN"/>
        </w:rPr>
        <w:t>。</w:t>
      </w:r>
    </w:p>
    <w:p w14:paraId="5394BF95">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B.厅内饰面材料、消防隔音门需要符合设计消防规范。</w:t>
      </w:r>
    </w:p>
    <w:p w14:paraId="56EE96A1">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C.厅内功能设计、厅内照明、能既需要满足</w:t>
      </w:r>
      <w:r>
        <w:rPr>
          <w:rFonts w:hint="eastAsia"/>
          <w:sz w:val="21"/>
          <w:szCs w:val="21"/>
          <w:lang w:val="en-US" w:eastAsia="zh-CN"/>
        </w:rPr>
        <w:t>演出</w:t>
      </w:r>
      <w:r>
        <w:rPr>
          <w:rFonts w:hint="default"/>
          <w:sz w:val="21"/>
          <w:szCs w:val="21"/>
          <w:lang w:val="en-US" w:eastAsia="zh-CN"/>
        </w:rPr>
        <w:t>功能要求又能满足日常管理及能开展各类交流活动。</w:t>
      </w:r>
    </w:p>
    <w:p w14:paraId="4F048A06">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 xml:space="preserve">(9)卫生间： </w:t>
      </w:r>
    </w:p>
    <w:p w14:paraId="7BE8E8BD">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1)根据</w:t>
      </w:r>
      <w:r>
        <w:rPr>
          <w:rFonts w:hint="eastAsia"/>
          <w:sz w:val="21"/>
          <w:szCs w:val="21"/>
          <w:lang w:val="en-US" w:eastAsia="zh-CN"/>
        </w:rPr>
        <w:t>剧院</w:t>
      </w:r>
      <w:r>
        <w:rPr>
          <w:rFonts w:hint="default"/>
          <w:sz w:val="21"/>
          <w:szCs w:val="21"/>
          <w:lang w:val="en-US" w:eastAsia="zh-CN"/>
        </w:rPr>
        <w:t>和配套功能要求，需要合理设置男女卫生间的数量及男女厕位的比例及需要设置残疾人卫生间。</w:t>
      </w:r>
    </w:p>
    <w:p w14:paraId="75BA6A97">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2)并需要设计洁具储存室及卫生配套设备设施。</w:t>
      </w:r>
    </w:p>
    <w:p w14:paraId="066718FB">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(10)</w:t>
      </w:r>
      <w:r>
        <w:rPr>
          <w:rFonts w:hint="eastAsia"/>
          <w:sz w:val="21"/>
          <w:szCs w:val="21"/>
          <w:lang w:val="en-US" w:eastAsia="zh-CN"/>
        </w:rPr>
        <w:t>设备用</w:t>
      </w:r>
      <w:r>
        <w:rPr>
          <w:rFonts w:hint="default"/>
          <w:sz w:val="21"/>
          <w:szCs w:val="21"/>
          <w:lang w:val="en-US" w:eastAsia="zh-CN"/>
        </w:rPr>
        <w:t>房</w:t>
      </w:r>
    </w:p>
    <w:p w14:paraId="1033E697">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1)按物业现状符合消防要求。</w:t>
      </w:r>
    </w:p>
    <w:p w14:paraId="50C190DA">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2)要求隔间独立机房，配置独立控制空调机设备。</w:t>
      </w:r>
    </w:p>
    <w:p w14:paraId="79690305">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3)要求防尘、安装电子密码锁。</w:t>
      </w:r>
    </w:p>
    <w:p w14:paraId="100B13E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4)要求安装工作灯、检修灯及网络通信。</w:t>
      </w:r>
    </w:p>
    <w:p w14:paraId="1B8E31A9">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5)</w:t>
      </w:r>
      <w:r>
        <w:rPr>
          <w:rFonts w:hint="eastAsia"/>
          <w:sz w:val="21"/>
          <w:szCs w:val="21"/>
          <w:lang w:val="en-US" w:eastAsia="zh-CN"/>
        </w:rPr>
        <w:t>设备</w:t>
      </w:r>
      <w:r>
        <w:rPr>
          <w:rFonts w:hint="default"/>
          <w:sz w:val="21"/>
          <w:szCs w:val="21"/>
          <w:lang w:val="en-US" w:eastAsia="zh-CN"/>
        </w:rPr>
        <w:t>墙体简装设计。</w:t>
      </w:r>
    </w:p>
    <w:p w14:paraId="4FB6005A">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2</w:t>
      </w:r>
      <w:r>
        <w:rPr>
          <w:rFonts w:hint="default"/>
          <w:sz w:val="21"/>
          <w:szCs w:val="21"/>
          <w:lang w:val="en-US" w:eastAsia="zh-CN"/>
        </w:rPr>
        <w:t>.3.4</w:t>
      </w:r>
      <w:r>
        <w:rPr>
          <w:rFonts w:hint="eastAsia"/>
          <w:sz w:val="21"/>
          <w:szCs w:val="21"/>
          <w:lang w:val="en-US" w:eastAsia="zh-CN"/>
        </w:rPr>
        <w:t>剧院</w:t>
      </w:r>
      <w:r>
        <w:rPr>
          <w:rFonts w:hint="default"/>
          <w:sz w:val="21"/>
          <w:szCs w:val="21"/>
          <w:lang w:val="en-US" w:eastAsia="zh-CN"/>
        </w:rPr>
        <w:t>室内装饰设计</w:t>
      </w:r>
    </w:p>
    <w:p w14:paraId="21D2836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(1)要求根据项目现场实际情况，结合整体规划，提供相应的软装设计方案，包含但不限于对环境色调的搭配，各类软装材料、物品的款式等。</w:t>
      </w:r>
    </w:p>
    <w:p w14:paraId="274801ED">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(2)要求</w:t>
      </w:r>
      <w:r>
        <w:rPr>
          <w:rFonts w:hint="eastAsia"/>
          <w:sz w:val="21"/>
          <w:szCs w:val="21"/>
          <w:lang w:val="en-US" w:eastAsia="zh-CN"/>
        </w:rPr>
        <w:t>剧院</w:t>
      </w:r>
      <w:r>
        <w:rPr>
          <w:rFonts w:hint="default"/>
          <w:sz w:val="21"/>
          <w:szCs w:val="21"/>
          <w:lang w:val="en-US" w:eastAsia="zh-CN"/>
        </w:rPr>
        <w:t>内满足不同场景需要的照明系统，考虑到尺地适宜的流动空间、座位的舒适性及观赏性。</w:t>
      </w:r>
    </w:p>
    <w:p w14:paraId="449A08D8">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(3)营造与商业</w:t>
      </w:r>
      <w:r>
        <w:rPr>
          <w:rFonts w:hint="eastAsia"/>
          <w:sz w:val="21"/>
          <w:szCs w:val="21"/>
          <w:lang w:val="en-US" w:eastAsia="zh-CN"/>
        </w:rPr>
        <w:t>剧院</w:t>
      </w:r>
      <w:r>
        <w:rPr>
          <w:rFonts w:hint="default"/>
          <w:sz w:val="21"/>
          <w:szCs w:val="21"/>
          <w:lang w:val="en-US" w:eastAsia="zh-CN"/>
        </w:rPr>
        <w:t>综合体相符合的艺术氛围，环境艺术气氛和演出艺术作品相协调。</w:t>
      </w:r>
    </w:p>
    <w:p w14:paraId="5D2F0AA0">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(4)室内装饰设计在材料上，把装修艺术和软装效果充分起来，要选择与场地相适宜的材质。</w:t>
      </w:r>
    </w:p>
    <w:p w14:paraId="0CF74A2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(5)需要提供以下角度的效果图（包括但不限于）：</w:t>
      </w:r>
    </w:p>
    <w:p w14:paraId="6DFB04EA">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w:t>
      </w:r>
      <w:r>
        <w:rPr>
          <w:rFonts w:hint="eastAsia"/>
          <w:sz w:val="21"/>
          <w:szCs w:val="21"/>
          <w:lang w:val="en-US" w:eastAsia="zh-CN"/>
        </w:rPr>
        <w:t>剧院</w:t>
      </w:r>
      <w:r>
        <w:rPr>
          <w:rFonts w:hint="default"/>
          <w:sz w:val="21"/>
          <w:szCs w:val="21"/>
          <w:lang w:val="en-US" w:eastAsia="zh-CN"/>
        </w:rPr>
        <w:t>外立面区域效果图；</w:t>
      </w:r>
    </w:p>
    <w:p w14:paraId="77770C3B">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2)大堂含</w:t>
      </w:r>
      <w:r>
        <w:rPr>
          <w:rFonts w:hint="eastAsia"/>
          <w:sz w:val="21"/>
          <w:szCs w:val="21"/>
          <w:lang w:val="en-US" w:eastAsia="zh-CN"/>
        </w:rPr>
        <w:t>独立经营</w:t>
      </w:r>
      <w:r>
        <w:rPr>
          <w:rFonts w:hint="default"/>
          <w:sz w:val="21"/>
          <w:szCs w:val="21"/>
          <w:lang w:val="en-US" w:eastAsia="zh-CN"/>
        </w:rPr>
        <w:t>区域效果图；</w:t>
      </w:r>
    </w:p>
    <w:p w14:paraId="1FC61F88">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3)卫生间角区域效果图；</w:t>
      </w:r>
    </w:p>
    <w:p w14:paraId="4A62B827">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4)</w:t>
      </w:r>
      <w:r>
        <w:rPr>
          <w:rFonts w:hint="eastAsia"/>
          <w:sz w:val="21"/>
          <w:szCs w:val="21"/>
          <w:lang w:val="en-US" w:eastAsia="zh-CN"/>
        </w:rPr>
        <w:t>观众厅内</w:t>
      </w:r>
      <w:r>
        <w:rPr>
          <w:rFonts w:hint="default"/>
          <w:sz w:val="21"/>
          <w:szCs w:val="21"/>
          <w:lang w:val="en-US" w:eastAsia="zh-CN"/>
        </w:rPr>
        <w:t>效果图；</w:t>
      </w:r>
    </w:p>
    <w:p w14:paraId="3A9ACD58">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5)能表现</w:t>
      </w:r>
      <w:r>
        <w:rPr>
          <w:rFonts w:hint="eastAsia"/>
          <w:sz w:val="21"/>
          <w:szCs w:val="21"/>
          <w:lang w:val="en-US" w:eastAsia="zh-CN"/>
        </w:rPr>
        <w:t>拓展空间</w:t>
      </w:r>
      <w:r>
        <w:rPr>
          <w:rFonts w:hint="default"/>
          <w:sz w:val="21"/>
          <w:szCs w:val="21"/>
          <w:lang w:val="en-US" w:eastAsia="zh-CN"/>
        </w:rPr>
        <w:t>域效果图；</w:t>
      </w:r>
    </w:p>
    <w:p w14:paraId="5B24C208">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6）各楼层主通道的效果图；</w:t>
      </w:r>
    </w:p>
    <w:p w14:paraId="5190BC7A">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8)其他设计单位认为有必要提供的区域效果图。</w:t>
      </w:r>
    </w:p>
    <w:p w14:paraId="1CA74FD8">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2</w:t>
      </w:r>
      <w:r>
        <w:rPr>
          <w:rFonts w:hint="default"/>
          <w:sz w:val="21"/>
          <w:szCs w:val="21"/>
          <w:lang w:val="en-US" w:eastAsia="zh-CN"/>
        </w:rPr>
        <w:t>.3.5影厅工艺设计（建声工艺设计、电声工艺设计、</w:t>
      </w:r>
      <w:r>
        <w:rPr>
          <w:rFonts w:hint="eastAsia"/>
          <w:sz w:val="21"/>
          <w:szCs w:val="21"/>
          <w:lang w:val="en-US" w:eastAsia="zh-CN"/>
        </w:rPr>
        <w:t>观众席看台</w:t>
      </w:r>
      <w:r>
        <w:rPr>
          <w:rFonts w:hint="default"/>
          <w:sz w:val="21"/>
          <w:szCs w:val="21"/>
          <w:lang w:val="en-US" w:eastAsia="zh-CN"/>
        </w:rPr>
        <w:t>工艺</w:t>
      </w:r>
      <w:r>
        <w:rPr>
          <w:rFonts w:hint="eastAsia"/>
          <w:sz w:val="21"/>
          <w:szCs w:val="21"/>
          <w:lang w:val="en-US" w:eastAsia="zh-CN"/>
        </w:rPr>
        <w:t>设计</w:t>
      </w:r>
      <w:r>
        <w:rPr>
          <w:rFonts w:hint="default"/>
          <w:sz w:val="21"/>
          <w:szCs w:val="21"/>
          <w:lang w:val="en-US" w:eastAsia="zh-CN"/>
        </w:rPr>
        <w:t>）。</w:t>
      </w:r>
    </w:p>
    <w:p w14:paraId="65C4F9AC">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(1)影厅建声工艺设计</w:t>
      </w:r>
    </w:p>
    <w:p w14:paraId="3B5CBB66">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1)要求影厅内使用的装饰材料符合电</w:t>
      </w:r>
      <w:r>
        <w:rPr>
          <w:rFonts w:hint="eastAsia"/>
          <w:sz w:val="21"/>
          <w:szCs w:val="21"/>
          <w:lang w:val="en-US" w:eastAsia="zh-CN"/>
        </w:rPr>
        <w:t>剧院</w:t>
      </w:r>
      <w:r>
        <w:rPr>
          <w:rFonts w:hint="default"/>
          <w:sz w:val="21"/>
          <w:szCs w:val="21"/>
          <w:lang w:val="en-US" w:eastAsia="zh-CN"/>
        </w:rPr>
        <w:t>规范要求；</w:t>
      </w:r>
    </w:p>
    <w:p w14:paraId="558AFE75">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2)需提供混响时间、吸音系数等设计数据表格、曲线图及量化图。</w:t>
      </w:r>
    </w:p>
    <w:p w14:paraId="019333BB">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(2)影厅电声工艺设计</w:t>
      </w:r>
    </w:p>
    <w:p w14:paraId="3A982A39">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1)要求提供影厅音响系统设计图，包括不限于</w:t>
      </w:r>
      <w:r>
        <w:rPr>
          <w:rFonts w:hint="eastAsia"/>
          <w:sz w:val="21"/>
          <w:szCs w:val="21"/>
          <w:lang w:val="en-US" w:eastAsia="zh-CN"/>
        </w:rPr>
        <w:t>音箱</w:t>
      </w:r>
      <w:r>
        <w:rPr>
          <w:rFonts w:hint="default"/>
          <w:sz w:val="21"/>
          <w:szCs w:val="21"/>
          <w:lang w:val="en-US" w:eastAsia="zh-CN"/>
        </w:rPr>
        <w:t>平面及立面布置图、扬声器线布线图；</w:t>
      </w:r>
    </w:p>
    <w:p w14:paraId="1F06F7C9">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2)需要提供环绕音响、顶棚音箱安装方式的设计图及大样图。</w:t>
      </w:r>
    </w:p>
    <w:p w14:paraId="715902B3">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(3)观众席看台工艺设计</w:t>
      </w:r>
    </w:p>
    <w:p w14:paraId="67724EC2">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1)观众座椅排列,排距,座宽；</w:t>
      </w:r>
    </w:p>
    <w:p w14:paraId="214A9237">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2)观众视线超高值之附加值；</w:t>
      </w:r>
    </w:p>
    <w:p w14:paraId="0E7F23A0">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2</w:t>
      </w:r>
      <w:r>
        <w:rPr>
          <w:rFonts w:hint="default"/>
          <w:sz w:val="21"/>
          <w:szCs w:val="21"/>
          <w:lang w:val="en-US" w:eastAsia="zh-CN"/>
        </w:rPr>
        <w:t>.3.6弱电系统</w:t>
      </w:r>
    </w:p>
    <w:p w14:paraId="0B6BD1C6">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(1)公共音响系统：</w:t>
      </w:r>
    </w:p>
    <w:p w14:paraId="5C5BC183">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w:t>
      </w:r>
      <w:r>
        <w:rPr>
          <w:rFonts w:hint="eastAsia"/>
          <w:sz w:val="21"/>
          <w:szCs w:val="21"/>
          <w:lang w:val="en-US" w:eastAsia="zh-CN"/>
        </w:rPr>
        <w:t>剧院</w:t>
      </w:r>
      <w:r>
        <w:rPr>
          <w:rFonts w:hint="default"/>
          <w:sz w:val="21"/>
          <w:szCs w:val="21"/>
          <w:lang w:val="en-US" w:eastAsia="zh-CN"/>
        </w:rPr>
        <w:t>区域广播及环境音响布点设计；</w:t>
      </w:r>
    </w:p>
    <w:p w14:paraId="2DD3AB3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2)公共音响需要与消防广播音响能切换使用；</w:t>
      </w:r>
    </w:p>
    <w:p w14:paraId="40B0D14F">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3)出具完整的布点图及系统图。</w:t>
      </w:r>
    </w:p>
    <w:p w14:paraId="462551E1">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(2)监控系统</w:t>
      </w:r>
    </w:p>
    <w:p w14:paraId="66A9C13E">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1)要求设计能覆盖到三楼大堂出入口位置、楼梯位置、大堂位置、户通道位置、仓库位置、影厅位置、操作间位置、放映夹层位置及所有功能空间要求满足使用功能实现全方位监控；</w:t>
      </w:r>
    </w:p>
    <w:p w14:paraId="28FF9903">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2)出具完整的布点图及系统图及角度分析图。</w:t>
      </w:r>
    </w:p>
    <w:p w14:paraId="6D3839E0">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(3)网络</w:t>
      </w:r>
    </w:p>
    <w:p w14:paraId="1273580A">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1)要求有线网络覆盖各个功能区；</w:t>
      </w:r>
    </w:p>
    <w:p w14:paraId="311A8797">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2)要求无线网络分区域覆盖大堂公共区域。</w:t>
      </w:r>
    </w:p>
    <w:p w14:paraId="06E089E0">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eastAsia"/>
          <w:sz w:val="21"/>
          <w:szCs w:val="21"/>
          <w:lang w:val="en-US" w:eastAsia="zh-CN"/>
        </w:rPr>
        <w:t>（4）门禁系统</w:t>
      </w:r>
    </w:p>
    <w:p w14:paraId="58CC7A40">
      <w:pPr>
        <w:pStyle w:val="12"/>
        <w:keepNext w:val="0"/>
        <w:keepLines w:val="0"/>
        <w:pageBreakBefore w:val="0"/>
        <w:numPr>
          <w:ilvl w:val="0"/>
          <w:numId w:val="0"/>
        </w:numPr>
        <w:kinsoku/>
        <w:wordWrap/>
        <w:overflowPunct/>
        <w:topLinePunct w:val="0"/>
        <w:bidi w:val="0"/>
        <w:snapToGrid/>
        <w:spacing w:line="360" w:lineRule="auto"/>
        <w:ind w:leftChars="0"/>
        <w:rPr>
          <w:rFonts w:hint="eastAsia"/>
          <w:sz w:val="21"/>
          <w:szCs w:val="21"/>
          <w:lang w:val="en-US" w:eastAsia="zh-CN"/>
        </w:rPr>
      </w:pPr>
      <w:r>
        <w:rPr>
          <w:rFonts w:hint="eastAsia"/>
          <w:sz w:val="21"/>
          <w:szCs w:val="21"/>
          <w:lang w:val="en-US" w:eastAsia="zh-CN"/>
        </w:rPr>
        <w:t>1）对剧院管理区域设置智能门禁系统</w:t>
      </w:r>
    </w:p>
    <w:p w14:paraId="430AE0E0">
      <w:pPr>
        <w:pStyle w:val="12"/>
        <w:keepNext w:val="0"/>
        <w:keepLines w:val="0"/>
        <w:pageBreakBefore w:val="0"/>
        <w:numPr>
          <w:ilvl w:val="0"/>
          <w:numId w:val="0"/>
        </w:numPr>
        <w:kinsoku/>
        <w:wordWrap/>
        <w:overflowPunct/>
        <w:topLinePunct w:val="0"/>
        <w:bidi w:val="0"/>
        <w:snapToGrid/>
        <w:spacing w:line="360" w:lineRule="auto"/>
        <w:ind w:leftChars="0"/>
        <w:rPr>
          <w:rFonts w:hint="default"/>
          <w:sz w:val="21"/>
          <w:szCs w:val="21"/>
          <w:lang w:val="en-US" w:eastAsia="zh-CN"/>
        </w:rPr>
      </w:pPr>
      <w:r>
        <w:rPr>
          <w:rFonts w:hint="default"/>
          <w:sz w:val="21"/>
          <w:szCs w:val="21"/>
          <w:lang w:val="en-US" w:eastAsia="zh-CN"/>
        </w:rPr>
        <w:t>2.3.</w:t>
      </w:r>
      <w:r>
        <w:rPr>
          <w:rFonts w:hint="eastAsia"/>
          <w:sz w:val="21"/>
          <w:szCs w:val="21"/>
          <w:lang w:val="en-US" w:eastAsia="zh-CN"/>
        </w:rPr>
        <w:t>7剧院标志标牌</w:t>
      </w:r>
      <w:r>
        <w:rPr>
          <w:rFonts w:hint="default"/>
          <w:sz w:val="21"/>
          <w:szCs w:val="21"/>
          <w:lang w:val="en-US" w:eastAsia="zh-CN"/>
        </w:rPr>
        <w:t>系统</w:t>
      </w:r>
    </w:p>
    <w:p w14:paraId="41E0D9EC">
      <w:pPr>
        <w:pStyle w:val="12"/>
        <w:keepNext w:val="0"/>
        <w:keepLines w:val="0"/>
        <w:pageBreakBefore w:val="0"/>
        <w:numPr>
          <w:ilvl w:val="0"/>
          <w:numId w:val="0"/>
        </w:numPr>
        <w:kinsoku/>
        <w:wordWrap/>
        <w:overflowPunct/>
        <w:topLinePunct w:val="0"/>
        <w:bidi w:val="0"/>
        <w:snapToGrid/>
        <w:spacing w:line="360" w:lineRule="auto"/>
        <w:rPr>
          <w:rFonts w:hint="eastAsia"/>
          <w:sz w:val="21"/>
          <w:szCs w:val="21"/>
          <w:lang w:val="en-US" w:eastAsia="zh-CN"/>
        </w:rPr>
      </w:pPr>
      <w:r>
        <w:rPr>
          <w:rFonts w:hint="eastAsia"/>
          <w:sz w:val="21"/>
          <w:szCs w:val="21"/>
          <w:lang w:val="en-US" w:eastAsia="zh-CN"/>
        </w:rPr>
        <w:t>（1）外立面招牌:需要安照建筑的现状设计外立面招牌，要求标识标牌的样色符合海珠大戏院的整体风格。</w:t>
      </w:r>
    </w:p>
    <w:p w14:paraId="2808E09E">
      <w:pPr>
        <w:pStyle w:val="12"/>
        <w:keepNext w:val="0"/>
        <w:keepLines w:val="0"/>
        <w:pageBreakBefore w:val="0"/>
        <w:numPr>
          <w:ilvl w:val="0"/>
          <w:numId w:val="0"/>
        </w:numPr>
        <w:kinsoku/>
        <w:wordWrap/>
        <w:overflowPunct/>
        <w:topLinePunct w:val="0"/>
        <w:bidi w:val="0"/>
        <w:snapToGrid/>
        <w:spacing w:line="360" w:lineRule="auto"/>
        <w:rPr>
          <w:rFonts w:hint="default"/>
          <w:sz w:val="21"/>
          <w:szCs w:val="21"/>
          <w:lang w:val="en-US" w:eastAsia="zh-CN"/>
        </w:rPr>
      </w:pPr>
      <w:r>
        <w:rPr>
          <w:rFonts w:hint="eastAsia"/>
          <w:sz w:val="21"/>
          <w:szCs w:val="21"/>
          <w:lang w:val="en-US" w:eastAsia="zh-CN"/>
        </w:rPr>
        <w:t>（2）室内标识：需要对各功能区域设计标识标牌，要求标识标牌的样色符合海珠大戏院的整体风格。</w:t>
      </w:r>
    </w:p>
    <w:p w14:paraId="461A1E92">
      <w:pPr>
        <w:pStyle w:val="12"/>
        <w:keepNext w:val="0"/>
        <w:keepLines w:val="0"/>
        <w:pageBreakBefore w:val="0"/>
        <w:numPr>
          <w:ilvl w:val="0"/>
          <w:numId w:val="0"/>
        </w:numPr>
        <w:kinsoku/>
        <w:wordWrap/>
        <w:overflowPunct/>
        <w:topLinePunct w:val="0"/>
        <w:bidi w:val="0"/>
        <w:snapToGrid/>
        <w:spacing w:line="360" w:lineRule="auto"/>
        <w:rPr>
          <w:rFonts w:hint="eastAsia"/>
          <w:sz w:val="21"/>
          <w:szCs w:val="21"/>
          <w:lang w:val="en-US" w:eastAsia="zh-CN"/>
        </w:rPr>
      </w:pPr>
      <w:r>
        <w:rPr>
          <w:rFonts w:hint="eastAsia"/>
          <w:sz w:val="21"/>
          <w:szCs w:val="21"/>
          <w:lang w:val="en-US" w:eastAsia="zh-CN"/>
        </w:rPr>
        <w:t>2.3.8机电设计</w:t>
      </w:r>
    </w:p>
    <w:p w14:paraId="1A1DECEF">
      <w:pPr>
        <w:pStyle w:val="12"/>
        <w:keepNext w:val="0"/>
        <w:keepLines w:val="0"/>
        <w:pageBreakBefore w:val="0"/>
        <w:numPr>
          <w:ilvl w:val="0"/>
          <w:numId w:val="4"/>
        </w:numPr>
        <w:kinsoku/>
        <w:wordWrap/>
        <w:overflowPunct/>
        <w:topLinePunct w:val="0"/>
        <w:bidi w:val="0"/>
        <w:snapToGrid/>
        <w:spacing w:line="360" w:lineRule="auto"/>
        <w:ind w:left="315" w:leftChars="0" w:firstLine="0" w:firstLineChars="0"/>
        <w:rPr>
          <w:rFonts w:hint="eastAsia"/>
          <w:sz w:val="21"/>
          <w:szCs w:val="21"/>
          <w:lang w:val="en-US" w:eastAsia="zh-CN"/>
        </w:rPr>
      </w:pPr>
      <w:r>
        <w:rPr>
          <w:rFonts w:hint="eastAsia"/>
          <w:sz w:val="21"/>
          <w:szCs w:val="21"/>
          <w:lang w:val="en-US" w:eastAsia="zh-CN"/>
        </w:rPr>
        <w:t>充分考虑剧院的各功能区域的使用，合理布置配电箱及电位。</w:t>
      </w:r>
    </w:p>
    <w:p w14:paraId="32449164">
      <w:pPr>
        <w:pStyle w:val="12"/>
        <w:keepNext w:val="0"/>
        <w:keepLines w:val="0"/>
        <w:pageBreakBefore w:val="0"/>
        <w:numPr>
          <w:ilvl w:val="0"/>
          <w:numId w:val="4"/>
        </w:numPr>
        <w:kinsoku/>
        <w:wordWrap/>
        <w:overflowPunct/>
        <w:topLinePunct w:val="0"/>
        <w:bidi w:val="0"/>
        <w:snapToGrid/>
        <w:spacing w:line="360" w:lineRule="auto"/>
        <w:ind w:left="315" w:leftChars="0" w:firstLine="0" w:firstLineChars="0"/>
        <w:rPr>
          <w:rFonts w:hint="default"/>
          <w:sz w:val="21"/>
          <w:szCs w:val="21"/>
          <w:lang w:val="en-US" w:eastAsia="zh-CN"/>
        </w:rPr>
      </w:pPr>
      <w:r>
        <w:rPr>
          <w:rFonts w:hint="eastAsia"/>
          <w:sz w:val="21"/>
          <w:szCs w:val="21"/>
          <w:lang w:val="en-US" w:eastAsia="zh-CN"/>
        </w:rPr>
        <w:t>充分考虑剧院的舞台设备、音响设备、空调设备、消防设备的配置情况合理配置电力。</w:t>
      </w:r>
    </w:p>
    <w:p w14:paraId="4E9BFA59">
      <w:pPr>
        <w:pStyle w:val="12"/>
        <w:keepNext w:val="0"/>
        <w:keepLines w:val="0"/>
        <w:pageBreakBefore w:val="0"/>
        <w:numPr>
          <w:ilvl w:val="0"/>
          <w:numId w:val="0"/>
        </w:numPr>
        <w:kinsoku/>
        <w:wordWrap/>
        <w:overflowPunct/>
        <w:topLinePunct w:val="0"/>
        <w:bidi w:val="0"/>
        <w:snapToGrid/>
        <w:spacing w:line="360" w:lineRule="auto"/>
        <w:rPr>
          <w:rFonts w:hint="eastAsia"/>
          <w:sz w:val="21"/>
          <w:szCs w:val="21"/>
          <w:lang w:val="en-US" w:eastAsia="zh-CN"/>
        </w:rPr>
      </w:pPr>
      <w:r>
        <w:rPr>
          <w:rFonts w:hint="eastAsia"/>
          <w:sz w:val="21"/>
          <w:szCs w:val="21"/>
          <w:lang w:val="en-US" w:eastAsia="zh-CN"/>
        </w:rPr>
        <w:t>2.3.9建筑土建改造设计</w:t>
      </w:r>
    </w:p>
    <w:p w14:paraId="0A5827B3">
      <w:pPr>
        <w:pStyle w:val="12"/>
        <w:keepNext w:val="0"/>
        <w:keepLines w:val="0"/>
        <w:pageBreakBefore w:val="0"/>
        <w:numPr>
          <w:ilvl w:val="0"/>
          <w:numId w:val="5"/>
        </w:numPr>
        <w:kinsoku/>
        <w:wordWrap/>
        <w:overflowPunct/>
        <w:topLinePunct w:val="0"/>
        <w:bidi w:val="0"/>
        <w:snapToGrid/>
        <w:spacing w:line="360" w:lineRule="auto"/>
        <w:ind w:left="315" w:leftChars="0" w:firstLine="0" w:firstLineChars="0"/>
        <w:rPr>
          <w:rFonts w:hint="eastAsia"/>
          <w:sz w:val="21"/>
          <w:szCs w:val="21"/>
          <w:lang w:val="en-US" w:eastAsia="zh-CN"/>
        </w:rPr>
      </w:pPr>
      <w:r>
        <w:rPr>
          <w:rFonts w:hint="eastAsia"/>
          <w:sz w:val="21"/>
          <w:szCs w:val="21"/>
          <w:lang w:val="en-US" w:eastAsia="zh-CN"/>
        </w:rPr>
        <w:t>需要对新增的电梯井道进行土建设计。</w:t>
      </w:r>
    </w:p>
    <w:p w14:paraId="62380EE0">
      <w:pPr>
        <w:pStyle w:val="12"/>
        <w:keepNext w:val="0"/>
        <w:keepLines w:val="0"/>
        <w:pageBreakBefore w:val="0"/>
        <w:numPr>
          <w:ilvl w:val="0"/>
          <w:numId w:val="5"/>
        </w:numPr>
        <w:kinsoku/>
        <w:wordWrap/>
        <w:overflowPunct/>
        <w:topLinePunct w:val="0"/>
        <w:bidi w:val="0"/>
        <w:snapToGrid/>
        <w:spacing w:line="360" w:lineRule="auto"/>
        <w:ind w:left="315" w:leftChars="0" w:firstLine="0" w:firstLineChars="0"/>
        <w:rPr>
          <w:rFonts w:hint="default"/>
          <w:sz w:val="21"/>
          <w:szCs w:val="21"/>
          <w:lang w:val="en-US" w:eastAsia="zh-CN"/>
        </w:rPr>
      </w:pPr>
      <w:r>
        <w:rPr>
          <w:rFonts w:hint="eastAsia"/>
          <w:sz w:val="21"/>
          <w:szCs w:val="21"/>
          <w:lang w:val="en-US" w:eastAsia="zh-CN"/>
        </w:rPr>
        <w:t>需要对观众席看台起坡进行土建设计。</w:t>
      </w:r>
    </w:p>
    <w:p w14:paraId="7195137E">
      <w:pPr>
        <w:pStyle w:val="12"/>
        <w:keepNext w:val="0"/>
        <w:keepLines w:val="0"/>
        <w:pageBreakBefore w:val="0"/>
        <w:numPr>
          <w:ilvl w:val="0"/>
          <w:numId w:val="5"/>
        </w:numPr>
        <w:kinsoku/>
        <w:wordWrap/>
        <w:overflowPunct/>
        <w:topLinePunct w:val="0"/>
        <w:bidi w:val="0"/>
        <w:snapToGrid/>
        <w:spacing w:line="360" w:lineRule="auto"/>
        <w:ind w:left="315" w:leftChars="0" w:firstLine="0" w:firstLineChars="0"/>
        <w:rPr>
          <w:rFonts w:hint="default"/>
          <w:sz w:val="21"/>
          <w:szCs w:val="21"/>
          <w:lang w:val="en-US" w:eastAsia="zh-CN"/>
        </w:rPr>
      </w:pPr>
      <w:r>
        <w:rPr>
          <w:rFonts w:hint="eastAsia"/>
          <w:sz w:val="21"/>
          <w:szCs w:val="21"/>
          <w:lang w:val="en-US" w:eastAsia="zh-CN"/>
        </w:rPr>
        <w:t>需要对变更的功能区域进行隔墙设计。</w:t>
      </w:r>
    </w:p>
    <w:p w14:paraId="54AE5A04">
      <w:pPr>
        <w:pStyle w:val="12"/>
        <w:keepNext w:val="0"/>
        <w:keepLines w:val="0"/>
        <w:pageBreakBefore w:val="0"/>
        <w:numPr>
          <w:ilvl w:val="0"/>
          <w:numId w:val="0"/>
        </w:numPr>
        <w:kinsoku/>
        <w:wordWrap/>
        <w:overflowPunct/>
        <w:topLinePunct w:val="0"/>
        <w:bidi w:val="0"/>
        <w:snapToGrid/>
        <w:spacing w:line="360" w:lineRule="auto"/>
        <w:rPr>
          <w:rFonts w:hint="eastAsia"/>
          <w:sz w:val="21"/>
          <w:szCs w:val="21"/>
          <w:lang w:val="en-US" w:eastAsia="zh-CN"/>
        </w:rPr>
      </w:pPr>
      <w:r>
        <w:rPr>
          <w:rFonts w:hint="eastAsia"/>
          <w:sz w:val="21"/>
          <w:szCs w:val="21"/>
          <w:lang w:val="en-US" w:eastAsia="zh-CN"/>
        </w:rPr>
        <w:t>2.3.10效果图、施工图纸及清单</w:t>
      </w:r>
    </w:p>
    <w:p w14:paraId="58EAACB9">
      <w:pPr>
        <w:pStyle w:val="12"/>
        <w:keepNext w:val="0"/>
        <w:keepLines w:val="0"/>
        <w:pageBreakBefore w:val="0"/>
        <w:numPr>
          <w:ilvl w:val="0"/>
          <w:numId w:val="6"/>
        </w:numPr>
        <w:kinsoku/>
        <w:wordWrap/>
        <w:overflowPunct/>
        <w:topLinePunct w:val="0"/>
        <w:bidi w:val="0"/>
        <w:snapToGrid/>
        <w:spacing w:line="360" w:lineRule="auto"/>
        <w:ind w:left="210" w:leftChars="0" w:firstLine="0" w:firstLineChars="0"/>
        <w:rPr>
          <w:rFonts w:hint="eastAsia"/>
          <w:sz w:val="21"/>
          <w:szCs w:val="21"/>
          <w:lang w:val="en-US" w:eastAsia="zh-CN"/>
        </w:rPr>
      </w:pPr>
      <w:r>
        <w:rPr>
          <w:rFonts w:hint="eastAsia"/>
          <w:sz w:val="21"/>
          <w:szCs w:val="21"/>
          <w:lang w:val="en-US" w:eastAsia="zh-CN"/>
        </w:rPr>
        <w:t>根据设计要求出具效果图不少于12张。</w:t>
      </w:r>
    </w:p>
    <w:p w14:paraId="7EA55012">
      <w:pPr>
        <w:pStyle w:val="12"/>
        <w:keepNext w:val="0"/>
        <w:keepLines w:val="0"/>
        <w:pageBreakBefore w:val="0"/>
        <w:numPr>
          <w:ilvl w:val="0"/>
          <w:numId w:val="6"/>
        </w:numPr>
        <w:kinsoku/>
        <w:wordWrap/>
        <w:overflowPunct/>
        <w:topLinePunct w:val="0"/>
        <w:bidi w:val="0"/>
        <w:snapToGrid/>
        <w:spacing w:line="360" w:lineRule="auto"/>
        <w:ind w:left="210" w:leftChars="0" w:firstLine="0" w:firstLineChars="0"/>
        <w:rPr>
          <w:rFonts w:hint="eastAsia"/>
          <w:sz w:val="21"/>
          <w:szCs w:val="21"/>
          <w:lang w:val="en-US" w:eastAsia="zh-CN"/>
        </w:rPr>
      </w:pPr>
      <w:r>
        <w:rPr>
          <w:rFonts w:hint="eastAsia"/>
          <w:sz w:val="21"/>
          <w:szCs w:val="21"/>
          <w:lang w:val="en-US" w:eastAsia="zh-CN"/>
        </w:rPr>
        <w:t>施工图纸需要满足图审及工程施工要求。</w:t>
      </w:r>
    </w:p>
    <w:p w14:paraId="22D7A1B3">
      <w:pPr>
        <w:pStyle w:val="12"/>
        <w:keepNext w:val="0"/>
        <w:keepLines w:val="0"/>
        <w:pageBreakBefore w:val="0"/>
        <w:numPr>
          <w:ilvl w:val="0"/>
          <w:numId w:val="6"/>
        </w:numPr>
        <w:kinsoku/>
        <w:wordWrap/>
        <w:overflowPunct/>
        <w:topLinePunct w:val="0"/>
        <w:bidi w:val="0"/>
        <w:snapToGrid/>
        <w:spacing w:line="360" w:lineRule="auto"/>
        <w:ind w:left="210" w:leftChars="0" w:firstLine="0" w:firstLineChars="0"/>
        <w:rPr>
          <w:rFonts w:hint="default"/>
          <w:sz w:val="21"/>
          <w:szCs w:val="21"/>
          <w:lang w:val="en-US" w:eastAsia="zh-CN"/>
        </w:rPr>
      </w:pPr>
      <w:r>
        <w:rPr>
          <w:rFonts w:hint="eastAsia"/>
          <w:sz w:val="21"/>
          <w:szCs w:val="21"/>
          <w:lang w:val="en-US" w:eastAsia="zh-CN"/>
        </w:rPr>
        <w:t>需要出具施工图并提供工程预算清单，满足造价审核及招标要求。</w:t>
      </w:r>
    </w:p>
    <w:p w14:paraId="788306AD">
      <w:pPr>
        <w:pStyle w:val="12"/>
        <w:keepNext w:val="0"/>
        <w:keepLines w:val="0"/>
        <w:pageBreakBefore w:val="0"/>
        <w:numPr>
          <w:ilvl w:val="0"/>
          <w:numId w:val="0"/>
        </w:numPr>
        <w:kinsoku/>
        <w:wordWrap/>
        <w:overflowPunct/>
        <w:topLinePunct w:val="0"/>
        <w:bidi w:val="0"/>
        <w:snapToGrid/>
        <w:spacing w:line="360" w:lineRule="auto"/>
        <w:rPr>
          <w:rFonts w:hint="eastAsia"/>
          <w:sz w:val="21"/>
          <w:szCs w:val="21"/>
          <w:lang w:val="en-US" w:eastAsia="zh-CN"/>
        </w:rPr>
      </w:pPr>
      <w:r>
        <w:rPr>
          <w:rFonts w:hint="eastAsia"/>
          <w:sz w:val="21"/>
          <w:szCs w:val="21"/>
          <w:lang w:val="en-US" w:eastAsia="zh-CN"/>
        </w:rPr>
        <w:t>2.3.11其他配合工作</w:t>
      </w:r>
    </w:p>
    <w:p w14:paraId="5F19F628">
      <w:pPr>
        <w:pStyle w:val="12"/>
        <w:keepNext w:val="0"/>
        <w:keepLines w:val="0"/>
        <w:pageBreakBefore w:val="0"/>
        <w:numPr>
          <w:ilvl w:val="0"/>
          <w:numId w:val="7"/>
        </w:numPr>
        <w:kinsoku/>
        <w:wordWrap/>
        <w:overflowPunct/>
        <w:topLinePunct w:val="0"/>
        <w:bidi w:val="0"/>
        <w:snapToGrid/>
        <w:spacing w:line="360" w:lineRule="auto"/>
        <w:ind w:left="315" w:leftChars="0" w:firstLine="0" w:firstLineChars="0"/>
        <w:rPr>
          <w:rFonts w:hint="eastAsia"/>
          <w:sz w:val="21"/>
          <w:szCs w:val="21"/>
          <w:lang w:val="en-US" w:eastAsia="zh-CN"/>
        </w:rPr>
      </w:pPr>
      <w:r>
        <w:rPr>
          <w:rFonts w:hint="eastAsia"/>
          <w:sz w:val="21"/>
          <w:szCs w:val="21"/>
          <w:lang w:val="en-US" w:eastAsia="zh-CN"/>
        </w:rPr>
        <w:t>设计方需要配合与工程施工方的技术交底。</w:t>
      </w:r>
    </w:p>
    <w:p w14:paraId="788AF9EB">
      <w:pPr>
        <w:pStyle w:val="12"/>
        <w:keepNext w:val="0"/>
        <w:keepLines w:val="0"/>
        <w:pageBreakBefore w:val="0"/>
        <w:numPr>
          <w:ilvl w:val="0"/>
          <w:numId w:val="7"/>
        </w:numPr>
        <w:kinsoku/>
        <w:wordWrap/>
        <w:overflowPunct/>
        <w:topLinePunct w:val="0"/>
        <w:bidi w:val="0"/>
        <w:snapToGrid/>
        <w:spacing w:line="360" w:lineRule="auto"/>
        <w:ind w:left="315" w:leftChars="0" w:firstLine="0" w:firstLineChars="0"/>
        <w:rPr>
          <w:rFonts w:hint="default"/>
          <w:sz w:val="21"/>
          <w:szCs w:val="21"/>
          <w:lang w:val="en-US" w:eastAsia="zh-CN"/>
        </w:rPr>
      </w:pPr>
      <w:r>
        <w:rPr>
          <w:rFonts w:hint="eastAsia"/>
          <w:sz w:val="21"/>
          <w:szCs w:val="21"/>
          <w:lang w:val="en-US" w:eastAsia="zh-CN"/>
        </w:rPr>
        <w:t>在施工过程中设计方需要参加施工方组织的技术会议。</w:t>
      </w:r>
    </w:p>
    <w:p w14:paraId="6AB97013">
      <w:pPr>
        <w:pStyle w:val="12"/>
        <w:keepNext w:val="0"/>
        <w:keepLines w:val="0"/>
        <w:pageBreakBefore w:val="0"/>
        <w:numPr>
          <w:ilvl w:val="0"/>
          <w:numId w:val="7"/>
        </w:numPr>
        <w:kinsoku/>
        <w:wordWrap/>
        <w:overflowPunct/>
        <w:topLinePunct w:val="0"/>
        <w:bidi w:val="0"/>
        <w:snapToGrid/>
        <w:spacing w:line="360" w:lineRule="auto"/>
        <w:ind w:left="315" w:leftChars="0" w:firstLine="0" w:firstLineChars="0"/>
        <w:rPr>
          <w:rFonts w:hint="default"/>
          <w:sz w:val="21"/>
          <w:szCs w:val="21"/>
          <w:lang w:val="en-US" w:eastAsia="zh-CN"/>
        </w:rPr>
      </w:pPr>
      <w:r>
        <w:rPr>
          <w:rFonts w:hint="eastAsia"/>
          <w:sz w:val="21"/>
          <w:szCs w:val="21"/>
          <w:lang w:val="en-US" w:eastAsia="zh-CN"/>
        </w:rPr>
        <w:t>设计方需要配合消防报批过程提供相关的图纸资料。</w:t>
      </w:r>
    </w:p>
    <w:p w14:paraId="567A14A3">
      <w:pPr>
        <w:pStyle w:val="12"/>
        <w:keepNext w:val="0"/>
        <w:keepLines w:val="0"/>
        <w:pageBreakBefore w:val="0"/>
        <w:numPr>
          <w:ilvl w:val="0"/>
          <w:numId w:val="7"/>
        </w:numPr>
        <w:kinsoku/>
        <w:wordWrap/>
        <w:overflowPunct/>
        <w:topLinePunct w:val="0"/>
        <w:bidi w:val="0"/>
        <w:snapToGrid/>
        <w:spacing w:line="360" w:lineRule="auto"/>
        <w:ind w:left="315" w:leftChars="0" w:firstLine="0" w:firstLineChars="0"/>
        <w:rPr>
          <w:rFonts w:hint="default"/>
          <w:sz w:val="21"/>
          <w:szCs w:val="21"/>
          <w:lang w:val="en-US" w:eastAsia="zh-CN"/>
        </w:rPr>
      </w:pPr>
      <w:r>
        <w:rPr>
          <w:rFonts w:hint="eastAsia"/>
          <w:sz w:val="21"/>
          <w:szCs w:val="21"/>
          <w:lang w:val="en-US" w:eastAsia="zh-CN"/>
        </w:rPr>
        <w:t>设计方需要配合项目竣工验收工作。</w:t>
      </w:r>
    </w:p>
    <w:p w14:paraId="21B832C9">
      <w:pPr>
        <w:pStyle w:val="12"/>
        <w:keepNext w:val="0"/>
        <w:keepLines w:val="0"/>
        <w:pageBreakBefore w:val="0"/>
        <w:numPr>
          <w:ilvl w:val="0"/>
          <w:numId w:val="7"/>
        </w:numPr>
        <w:kinsoku/>
        <w:wordWrap/>
        <w:overflowPunct/>
        <w:topLinePunct w:val="0"/>
        <w:bidi w:val="0"/>
        <w:snapToGrid/>
        <w:spacing w:line="360" w:lineRule="auto"/>
        <w:ind w:left="315" w:leftChars="0" w:firstLine="0" w:firstLineChars="0"/>
        <w:rPr>
          <w:rFonts w:hint="default"/>
          <w:sz w:val="21"/>
          <w:szCs w:val="21"/>
          <w:lang w:val="en-US" w:eastAsia="zh-CN"/>
        </w:rPr>
      </w:pPr>
      <w:r>
        <w:rPr>
          <w:rFonts w:hint="eastAsia"/>
          <w:sz w:val="21"/>
          <w:szCs w:val="21"/>
          <w:lang w:val="en-US" w:eastAsia="zh-CN"/>
        </w:rPr>
        <w:t>设计方需要配合整理及提供竣工图纸资料及相关的设计成果。</w:t>
      </w:r>
    </w:p>
    <w:p w14:paraId="102F28CB">
      <w:pPr>
        <w:pStyle w:val="12"/>
        <w:keepNext w:val="0"/>
        <w:keepLines w:val="0"/>
        <w:pageBreakBefore w:val="0"/>
        <w:numPr>
          <w:ilvl w:val="0"/>
          <w:numId w:val="0"/>
        </w:numPr>
        <w:kinsoku/>
        <w:wordWrap/>
        <w:overflowPunct/>
        <w:topLinePunct w:val="0"/>
        <w:bidi w:val="0"/>
        <w:snapToGrid/>
        <w:spacing w:line="360" w:lineRule="auto"/>
        <w:ind w:left="315" w:leftChars="0"/>
        <w:rPr>
          <w:rFonts w:hint="default"/>
          <w:sz w:val="21"/>
          <w:szCs w:val="21"/>
          <w:lang w:val="en-US" w:eastAsia="zh-CN"/>
        </w:rPr>
      </w:pPr>
    </w:p>
    <w:p w14:paraId="0830D790">
      <w:pPr>
        <w:keepNext w:val="0"/>
        <w:keepLines w:val="0"/>
        <w:pageBreakBefore w:val="0"/>
        <w:numPr>
          <w:ilvl w:val="0"/>
          <w:numId w:val="2"/>
        </w:numPr>
        <w:kinsoku/>
        <w:wordWrap/>
        <w:overflowPunct/>
        <w:topLinePunct w:val="0"/>
        <w:bidi w:val="0"/>
        <w:snapToGrid/>
        <w:spacing w:line="360" w:lineRule="auto"/>
        <w:outlineLvl w:val="0"/>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项目</w:t>
      </w:r>
      <w:r>
        <w:rPr>
          <w:rFonts w:hint="eastAsia" w:asciiTheme="minorEastAsia" w:hAnsiTheme="minorEastAsia" w:eastAsiaTheme="minorEastAsia" w:cstheme="minorEastAsia"/>
          <w:b/>
          <w:bCs/>
          <w:sz w:val="24"/>
          <w:szCs w:val="24"/>
          <w:lang w:val="en-US" w:eastAsia="zh-CN"/>
        </w:rPr>
        <w:t>进度节点</w:t>
      </w:r>
      <w:r>
        <w:rPr>
          <w:rFonts w:hint="eastAsia" w:asciiTheme="minorEastAsia" w:hAnsiTheme="minorEastAsia" w:eastAsiaTheme="minorEastAsia" w:cstheme="minorEastAsia"/>
          <w:b/>
          <w:bCs/>
          <w:sz w:val="24"/>
          <w:szCs w:val="24"/>
        </w:rPr>
        <w:t>要求</w:t>
      </w:r>
    </w:p>
    <w:p w14:paraId="67380CB3">
      <w:pPr>
        <w:keepNext w:val="0"/>
        <w:keepLines w:val="0"/>
        <w:pageBreakBefore w:val="0"/>
        <w:kinsoku/>
        <w:wordWrap/>
        <w:overflowPunct/>
        <w:topLinePunct w:val="0"/>
        <w:bidi w:val="0"/>
        <w:snapToGrid/>
        <w:spacing w:line="360" w:lineRule="auto"/>
        <w:ind w:firstLine="420" w:firstLineChars="200"/>
        <w:rPr>
          <w:rFonts w:hint="eastAsia"/>
          <w:lang w:val="en-US" w:eastAsia="zh-CN"/>
        </w:rPr>
      </w:pPr>
      <w:r>
        <w:rPr>
          <w:rFonts w:hint="eastAsia"/>
          <w:lang w:val="en-US" w:eastAsia="zh-CN"/>
        </w:rPr>
        <w:t>本项目目前在2025年5月1日进行室内装修阶段，计划9月20日移交使用，10月份项目试运营。</w:t>
      </w:r>
    </w:p>
    <w:p w14:paraId="3832F5E4">
      <w:pPr>
        <w:pStyle w:val="2"/>
        <w:rPr>
          <w:rFonts w:hint="default"/>
          <w:lang w:val="en-US" w:eastAsia="zh-CN"/>
        </w:rPr>
      </w:pPr>
    </w:p>
    <w:p w14:paraId="6883405E">
      <w:pPr>
        <w:keepNext w:val="0"/>
        <w:keepLines w:val="0"/>
        <w:pageBreakBefore w:val="0"/>
        <w:numPr>
          <w:ilvl w:val="0"/>
          <w:numId w:val="2"/>
        </w:numPr>
        <w:kinsoku/>
        <w:wordWrap/>
        <w:overflowPunct/>
        <w:topLinePunct w:val="0"/>
        <w:bidi w:val="0"/>
        <w:snapToGrid/>
        <w:spacing w:line="360" w:lineRule="auto"/>
        <w:ind w:left="0" w:leftChars="0" w:firstLine="0" w:firstLineChars="0"/>
        <w:outlineLvl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商务要求</w:t>
      </w:r>
    </w:p>
    <w:p w14:paraId="12F68299">
      <w:pPr>
        <w:pStyle w:val="2"/>
        <w:keepNext w:val="0"/>
        <w:keepLines w:val="0"/>
        <w:pageBreakBefore w:val="0"/>
        <w:widowControl w:val="0"/>
        <w:numPr>
          <w:ilvl w:val="0"/>
          <w:numId w:val="8"/>
        </w:numPr>
        <w:kinsoku/>
        <w:wordWrap/>
        <w:overflowPunct/>
        <w:topLinePunct w:val="0"/>
        <w:autoSpaceDE w:val="0"/>
        <w:autoSpaceDN w:val="0"/>
        <w:bidi w:val="0"/>
        <w:adjustRightInd w:val="0"/>
        <w:snapToGrid/>
        <w:spacing w:line="360" w:lineRule="auto"/>
        <w:ind w:leftChars="0"/>
        <w:textAlignment w:val="baseline"/>
        <w:rPr>
          <w:rFonts w:hint="eastAsia"/>
          <w:b/>
          <w:bCs/>
          <w:sz w:val="24"/>
          <w:szCs w:val="24"/>
          <w:lang w:val="en-US" w:eastAsia="zh-CN"/>
        </w:rPr>
      </w:pPr>
      <w:r>
        <w:rPr>
          <w:rFonts w:hint="eastAsia"/>
          <w:b/>
          <w:bCs/>
          <w:sz w:val="24"/>
          <w:szCs w:val="24"/>
          <w:lang w:val="en-US" w:eastAsia="zh-CN"/>
        </w:rPr>
        <w:t>供应商的资格要求</w:t>
      </w:r>
    </w:p>
    <w:p w14:paraId="115CB97D">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eastAsia"/>
          <w:sz w:val="24"/>
          <w:szCs w:val="24"/>
          <w:lang w:val="en-US" w:eastAsia="zh-CN"/>
        </w:rPr>
      </w:pPr>
      <w:r>
        <w:rPr>
          <w:rFonts w:hint="eastAsia"/>
          <w:sz w:val="24"/>
          <w:szCs w:val="24"/>
          <w:lang w:val="en-US" w:eastAsia="zh-CN"/>
        </w:rPr>
        <w:t>1、满足《中华人民共和国政府釆购法》第二十二条规定。</w:t>
      </w:r>
    </w:p>
    <w:p w14:paraId="7CB509A2">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eastAsia"/>
          <w:sz w:val="24"/>
          <w:szCs w:val="24"/>
          <w:lang w:val="en-US" w:eastAsia="zh-CN"/>
        </w:rPr>
      </w:pPr>
      <w:r>
        <w:rPr>
          <w:rFonts w:hint="eastAsia"/>
          <w:sz w:val="24"/>
          <w:szCs w:val="24"/>
          <w:lang w:val="en-US" w:eastAsia="zh-CN"/>
        </w:rPr>
        <w:t>2、落实政府采购政策需满足的资格要求：</w:t>
      </w:r>
    </w:p>
    <w:p w14:paraId="3A8A11C6">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eastAsia"/>
          <w:sz w:val="24"/>
          <w:szCs w:val="24"/>
          <w:lang w:val="en-US" w:eastAsia="zh-CN"/>
        </w:rPr>
      </w:pPr>
      <w:r>
        <w:rPr>
          <w:rFonts w:hint="eastAsia"/>
          <w:sz w:val="24"/>
          <w:szCs w:val="24"/>
          <w:lang w:val="en-US" w:eastAsia="zh-CN"/>
        </w:rPr>
        <w:t>3、本项目的特定资格要求：</w:t>
      </w:r>
    </w:p>
    <w:p w14:paraId="4BB4482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eastAsia"/>
          <w:sz w:val="24"/>
          <w:szCs w:val="24"/>
          <w:lang w:val="en-US" w:eastAsia="zh-CN"/>
        </w:rPr>
      </w:pPr>
      <w:r>
        <w:rPr>
          <w:rFonts w:hint="eastAsia"/>
          <w:sz w:val="24"/>
          <w:szCs w:val="24"/>
          <w:lang w:val="en-US" w:eastAsia="zh-CN"/>
        </w:rPr>
        <w:t>（1）具有独立承担民事责任的能力：响应供应商必须是在中华人民共和国境内注册的法人或其他组织，投标时提交有效的营业执照（或事业法人登记证）副本复印件。</w:t>
      </w:r>
    </w:p>
    <w:p w14:paraId="614B6852">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default"/>
          <w:sz w:val="24"/>
          <w:szCs w:val="24"/>
          <w:lang w:val="en-US" w:eastAsia="zh-CN"/>
        </w:rPr>
      </w:pPr>
      <w:r>
        <w:rPr>
          <w:rFonts w:hint="eastAsia"/>
          <w:sz w:val="24"/>
          <w:szCs w:val="24"/>
          <w:lang w:val="en-US" w:eastAsia="zh-CN"/>
        </w:rPr>
        <w:t>（2）具有承接本项目所需的：①建设行政主管部门颁发的建筑行业（工程设计建筑装饰工程专项乙级以上资质；②工程设计消防设施工程专项乙级资质或建筑行业（建筑工程）乙级以上设计资质。</w:t>
      </w:r>
    </w:p>
    <w:p w14:paraId="10B065B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eastAsia"/>
          <w:sz w:val="24"/>
          <w:szCs w:val="24"/>
          <w:lang w:val="en-US" w:eastAsia="zh-CN"/>
        </w:rPr>
      </w:pPr>
      <w:r>
        <w:rPr>
          <w:rFonts w:hint="eastAsia"/>
          <w:sz w:val="24"/>
          <w:szCs w:val="24"/>
          <w:lang w:val="en-US" w:eastAsia="zh-CN"/>
        </w:rPr>
        <w:t>（3）在信用中国网站（www.creditchina.gov.cn）“信用信息”栏未被列入以下情形之一：①失信被执行人；②税收违法黑名单。在中国政府采购网（www.ccgp.gov.cn）“政府采购严重违法失信行为信息记录”栏中查询没有处于禁止参加政府采购活动的记录名单的供应商（响应供应商须打印网站查询截图，查询结果以评审时在上述两个网站查询的内容为准。如查询结果显示“没查到您要的信息”，视为无上述所列不良信用记录。如相关失信记录已失效，供应商需提供相关证明资料）。</w:t>
      </w:r>
    </w:p>
    <w:p w14:paraId="399530A8">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eastAsia"/>
          <w:sz w:val="24"/>
          <w:szCs w:val="24"/>
          <w:lang w:val="en-US" w:eastAsia="zh-CN"/>
        </w:rPr>
      </w:pPr>
      <w:r>
        <w:rPr>
          <w:rFonts w:hint="eastAsia"/>
          <w:sz w:val="24"/>
          <w:szCs w:val="24"/>
          <w:lang w:val="en-US" w:eastAsia="zh-CN"/>
        </w:rPr>
        <w:t>（4）本项目只允许唯一方案且不接受分支机构投标或联合体投标。</w:t>
      </w:r>
    </w:p>
    <w:p w14:paraId="519818AF">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20" w:leftChars="0"/>
        <w:textAlignment w:val="baseline"/>
        <w:rPr>
          <w:rFonts w:hint="eastAsia"/>
          <w:sz w:val="24"/>
          <w:szCs w:val="24"/>
          <w:lang w:val="en-US" w:eastAsia="zh-CN"/>
        </w:rPr>
      </w:pPr>
      <w:r>
        <w:rPr>
          <w:rFonts w:hint="eastAsia"/>
          <w:sz w:val="24"/>
          <w:szCs w:val="24"/>
          <w:lang w:val="en-US" w:eastAsia="zh-CN"/>
        </w:rPr>
        <w:t>（5）法律、行政法规规定的其他条件。</w:t>
      </w:r>
    </w:p>
    <w:p w14:paraId="419D20CB">
      <w:pPr>
        <w:pStyle w:val="2"/>
        <w:numPr>
          <w:ilvl w:val="0"/>
          <w:numId w:val="8"/>
        </w:numPr>
        <w:ind w:leftChars="0"/>
        <w:rPr>
          <w:rFonts w:hint="default"/>
          <w:b/>
          <w:bCs/>
          <w:sz w:val="24"/>
          <w:szCs w:val="24"/>
          <w:lang w:val="en-US" w:eastAsia="zh-CN"/>
        </w:rPr>
      </w:pPr>
      <w:r>
        <w:rPr>
          <w:rFonts w:hint="eastAsia"/>
          <w:b/>
          <w:bCs/>
          <w:sz w:val="24"/>
          <w:szCs w:val="24"/>
          <w:lang w:val="en-US" w:eastAsia="zh-CN"/>
        </w:rPr>
        <w:t>其他</w:t>
      </w:r>
    </w:p>
    <w:p w14:paraId="3529E107">
      <w:pPr>
        <w:keepNext w:val="0"/>
        <w:keepLines w:val="0"/>
        <w:pageBreakBefore w:val="0"/>
        <w:numPr>
          <w:ilvl w:val="0"/>
          <w:numId w:val="9"/>
        </w:numPr>
        <w:kinsoku/>
        <w:wordWrap/>
        <w:overflowPunct/>
        <w:topLinePunct w:val="0"/>
        <w:bidi w:val="0"/>
        <w:snapToGrid/>
        <w:spacing w:line="360" w:lineRule="auto"/>
        <w:ind w:left="845" w:leftChars="0" w:hanging="425" w:firstLineChars="0"/>
        <w:jc w:val="left"/>
        <w:rPr>
          <w:rFonts w:ascii="宋体" w:hAnsi="宋体"/>
          <w:sz w:val="24"/>
          <w:szCs w:val="24"/>
        </w:rPr>
      </w:pPr>
      <w:r>
        <w:rPr>
          <w:rFonts w:hint="eastAsia" w:ascii="宋体" w:hAnsi="宋体"/>
          <w:sz w:val="24"/>
          <w:szCs w:val="24"/>
        </w:rPr>
        <w:t>报价文件需要考虑单价为完全包干综合价，该综合价为到需方所需</w:t>
      </w:r>
      <w:r>
        <w:rPr>
          <w:rFonts w:hint="eastAsia" w:ascii="宋体" w:hAnsi="宋体"/>
          <w:sz w:val="24"/>
          <w:szCs w:val="24"/>
          <w:lang w:val="en-US" w:eastAsia="zh-CN"/>
        </w:rPr>
        <w:t>建设项目</w:t>
      </w:r>
      <w:r>
        <w:rPr>
          <w:rFonts w:hint="eastAsia" w:ascii="宋体" w:hAnsi="宋体"/>
          <w:sz w:val="24"/>
          <w:szCs w:val="24"/>
        </w:rPr>
        <w:t>的落地价。该综合价应包括但不限于现场测绘费、差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30B1F692">
      <w:pPr>
        <w:keepNext w:val="0"/>
        <w:keepLines w:val="0"/>
        <w:pageBreakBefore w:val="0"/>
        <w:numPr>
          <w:ilvl w:val="0"/>
          <w:numId w:val="9"/>
        </w:numPr>
        <w:kinsoku/>
        <w:wordWrap/>
        <w:overflowPunct/>
        <w:topLinePunct w:val="0"/>
        <w:bidi w:val="0"/>
        <w:snapToGrid/>
        <w:spacing w:line="360" w:lineRule="auto"/>
        <w:ind w:left="845" w:leftChars="0" w:hanging="425" w:firstLineChars="0"/>
        <w:rPr>
          <w:rFonts w:ascii="宋体" w:hAnsi="宋体"/>
          <w:sz w:val="24"/>
          <w:szCs w:val="24"/>
        </w:rPr>
      </w:pPr>
      <w:r>
        <w:rPr>
          <w:rFonts w:hint="eastAsia" w:ascii="宋体" w:hAnsi="宋体"/>
          <w:sz w:val="24"/>
          <w:szCs w:val="24"/>
        </w:rPr>
        <w:t>要求报价方自行到项目地勘察。</w:t>
      </w:r>
    </w:p>
    <w:p w14:paraId="607C8220">
      <w:pPr>
        <w:keepNext w:val="0"/>
        <w:keepLines w:val="0"/>
        <w:pageBreakBefore w:val="0"/>
        <w:numPr>
          <w:ilvl w:val="0"/>
          <w:numId w:val="9"/>
        </w:numPr>
        <w:kinsoku/>
        <w:wordWrap/>
        <w:overflowPunct/>
        <w:topLinePunct w:val="0"/>
        <w:bidi w:val="0"/>
        <w:snapToGrid/>
        <w:spacing w:line="360" w:lineRule="auto"/>
        <w:ind w:left="845" w:leftChars="0" w:hanging="425" w:firstLineChars="0"/>
        <w:rPr>
          <w:rFonts w:ascii="宋体" w:hAnsi="宋体"/>
          <w:sz w:val="24"/>
          <w:szCs w:val="24"/>
        </w:rPr>
      </w:pPr>
      <w:r>
        <w:rPr>
          <w:rFonts w:hint="eastAsia" w:ascii="宋体" w:hAnsi="宋体"/>
          <w:sz w:val="24"/>
          <w:szCs w:val="24"/>
        </w:rPr>
        <w:t>本次评选入选单位为合理低价法。</w:t>
      </w:r>
    </w:p>
    <w:p w14:paraId="5957831B">
      <w:pPr>
        <w:keepNext w:val="0"/>
        <w:keepLines w:val="0"/>
        <w:pageBreakBefore w:val="0"/>
        <w:numPr>
          <w:ilvl w:val="0"/>
          <w:numId w:val="9"/>
        </w:numPr>
        <w:kinsoku/>
        <w:wordWrap/>
        <w:overflowPunct/>
        <w:topLinePunct w:val="0"/>
        <w:bidi w:val="0"/>
        <w:snapToGrid/>
        <w:spacing w:line="360" w:lineRule="auto"/>
        <w:ind w:left="845" w:leftChars="0" w:hanging="425" w:firstLineChars="0"/>
        <w:rPr>
          <w:rFonts w:ascii="宋体" w:hAnsi="宋体"/>
          <w:sz w:val="24"/>
          <w:szCs w:val="24"/>
        </w:rPr>
      </w:pPr>
      <w:r>
        <w:rPr>
          <w:rFonts w:hint="eastAsia" w:ascii="宋体" w:hAnsi="宋体"/>
          <w:sz w:val="24"/>
          <w:szCs w:val="24"/>
        </w:rPr>
        <w:t>入选的施工单位需要签订服务合同。</w:t>
      </w:r>
    </w:p>
    <w:p w14:paraId="01365BA2">
      <w:pPr>
        <w:keepNext w:val="0"/>
        <w:keepLines w:val="0"/>
        <w:pageBreakBefore w:val="0"/>
        <w:numPr>
          <w:ilvl w:val="0"/>
          <w:numId w:val="9"/>
        </w:numPr>
        <w:kinsoku/>
        <w:wordWrap/>
        <w:overflowPunct/>
        <w:topLinePunct w:val="0"/>
        <w:bidi w:val="0"/>
        <w:snapToGrid/>
        <w:spacing w:line="360" w:lineRule="auto"/>
        <w:ind w:left="845" w:leftChars="0" w:hanging="425" w:firstLineChars="0"/>
        <w:rPr>
          <w:rFonts w:ascii="宋体" w:hAnsi="宋体"/>
          <w:sz w:val="24"/>
          <w:szCs w:val="24"/>
        </w:rPr>
      </w:pPr>
      <w:r>
        <w:rPr>
          <w:rFonts w:hint="eastAsia" w:ascii="宋体" w:hAnsi="宋体"/>
          <w:sz w:val="24"/>
          <w:szCs w:val="24"/>
        </w:rPr>
        <w:t>未评选上的施工单位业主方不出具答疑文件。</w:t>
      </w:r>
    </w:p>
    <w:p w14:paraId="2764C72C">
      <w:pPr>
        <w:keepNext w:val="0"/>
        <w:keepLines w:val="0"/>
        <w:pageBreakBefore w:val="0"/>
        <w:numPr>
          <w:ilvl w:val="0"/>
          <w:numId w:val="9"/>
        </w:numPr>
        <w:kinsoku/>
        <w:wordWrap/>
        <w:overflowPunct/>
        <w:topLinePunct w:val="0"/>
        <w:bidi w:val="0"/>
        <w:snapToGrid/>
        <w:spacing w:line="360" w:lineRule="auto"/>
        <w:ind w:left="845" w:leftChars="0" w:hanging="425" w:firstLineChars="0"/>
        <w:rPr>
          <w:rFonts w:ascii="宋体" w:hAnsi="宋体"/>
          <w:sz w:val="24"/>
          <w:szCs w:val="24"/>
        </w:rPr>
      </w:pPr>
      <w:r>
        <w:rPr>
          <w:rFonts w:hint="eastAsia" w:ascii="宋体" w:hAnsi="宋体"/>
          <w:sz w:val="24"/>
          <w:szCs w:val="24"/>
        </w:rPr>
        <w:t>设计单位公司注册地在广州地区或在广州地区设立办事处，</w:t>
      </w:r>
      <w:bookmarkStart w:id="0" w:name="_Hlk71560360"/>
      <w:r>
        <w:rPr>
          <w:rFonts w:hint="eastAsia" w:ascii="宋体" w:hAnsi="宋体"/>
          <w:sz w:val="24"/>
          <w:szCs w:val="24"/>
        </w:rPr>
        <w:t>确保响应时间不超过2小时</w:t>
      </w:r>
      <w:bookmarkEnd w:id="0"/>
      <w:r>
        <w:rPr>
          <w:rFonts w:hint="eastAsia" w:ascii="宋体" w:hAnsi="宋体"/>
          <w:sz w:val="24"/>
          <w:szCs w:val="24"/>
        </w:rPr>
        <w:t>。</w:t>
      </w:r>
    </w:p>
    <w:p w14:paraId="2B4FBEBA">
      <w:pPr>
        <w:keepNext w:val="0"/>
        <w:keepLines w:val="0"/>
        <w:pageBreakBefore w:val="0"/>
        <w:numPr>
          <w:ilvl w:val="0"/>
          <w:numId w:val="9"/>
        </w:numPr>
        <w:kinsoku/>
        <w:wordWrap/>
        <w:overflowPunct/>
        <w:topLinePunct w:val="0"/>
        <w:bidi w:val="0"/>
        <w:snapToGrid/>
        <w:spacing w:line="360" w:lineRule="auto"/>
        <w:ind w:left="845" w:leftChars="0" w:hanging="425" w:firstLineChars="0"/>
        <w:rPr>
          <w:rFonts w:hint="eastAsia" w:ascii="宋体" w:hAnsi="宋体"/>
          <w:sz w:val="24"/>
          <w:szCs w:val="24"/>
        </w:rPr>
      </w:pPr>
      <w:r>
        <w:rPr>
          <w:rFonts w:hint="eastAsia" w:ascii="宋体" w:hAnsi="宋体"/>
          <w:sz w:val="24"/>
          <w:szCs w:val="24"/>
        </w:rPr>
        <w:t>资质符合要求的单位会选入库广州市演出电影有限公司合作供应商</w:t>
      </w:r>
    </w:p>
    <w:p w14:paraId="00350388">
      <w:pPr>
        <w:keepNext w:val="0"/>
        <w:keepLines w:val="0"/>
        <w:pageBreakBefore w:val="0"/>
        <w:numPr>
          <w:ilvl w:val="0"/>
          <w:numId w:val="9"/>
        </w:numPr>
        <w:kinsoku/>
        <w:wordWrap/>
        <w:overflowPunct/>
        <w:topLinePunct w:val="0"/>
        <w:bidi w:val="0"/>
        <w:snapToGrid/>
        <w:spacing w:line="360" w:lineRule="auto"/>
        <w:ind w:left="845" w:leftChars="0" w:hanging="425" w:firstLineChars="0"/>
        <w:rPr>
          <w:rFonts w:hint="eastAsia" w:ascii="宋体" w:hAnsi="宋体"/>
          <w:sz w:val="24"/>
          <w:szCs w:val="24"/>
          <w:lang w:val="en-US" w:eastAsia="zh-CN"/>
        </w:rPr>
      </w:pPr>
      <w:r>
        <w:rPr>
          <w:rFonts w:hint="eastAsia" w:ascii="宋体" w:hAnsi="宋体"/>
          <w:sz w:val="24"/>
          <w:szCs w:val="24"/>
          <w:lang w:val="en-US" w:eastAsia="zh-CN"/>
        </w:rPr>
        <w:t>付款方式：</w:t>
      </w:r>
    </w:p>
    <w:p w14:paraId="616350D6">
      <w:pPr>
        <w:keepNext w:val="0"/>
        <w:keepLines w:val="0"/>
        <w:pageBreakBefore w:val="0"/>
        <w:numPr>
          <w:ilvl w:val="0"/>
          <w:numId w:val="0"/>
        </w:numPr>
        <w:kinsoku/>
        <w:wordWrap/>
        <w:overflowPunct/>
        <w:topLinePunct w:val="0"/>
        <w:bidi w:val="0"/>
        <w:snapToGrid/>
        <w:spacing w:line="360" w:lineRule="auto"/>
        <w:ind w:left="630" w:leftChars="0"/>
        <w:rPr>
          <w:rFonts w:hint="eastAsia" w:ascii="宋体" w:hAnsi="宋体"/>
          <w:sz w:val="24"/>
          <w:szCs w:val="24"/>
          <w:lang w:val="en-US" w:eastAsia="zh-CN"/>
        </w:rPr>
      </w:pPr>
      <w:r>
        <w:rPr>
          <w:rFonts w:hint="eastAsia" w:ascii="宋体" w:hAnsi="宋体"/>
          <w:sz w:val="24"/>
          <w:szCs w:val="24"/>
          <w:lang w:val="en-US" w:eastAsia="zh-CN"/>
        </w:rPr>
        <w:t>（1）双方签订合同文件后，采购人在5个工作日内向中标人支付第一期费用，为合同总额的30%。</w:t>
      </w:r>
    </w:p>
    <w:p w14:paraId="6A0FA1AA">
      <w:pPr>
        <w:keepNext w:val="0"/>
        <w:keepLines w:val="0"/>
        <w:pageBreakBefore w:val="0"/>
        <w:widowControl w:val="0"/>
        <w:numPr>
          <w:ilvl w:val="0"/>
          <w:numId w:val="0"/>
        </w:numPr>
        <w:kinsoku/>
        <w:wordWrap/>
        <w:overflowPunct/>
        <w:topLinePunct w:val="0"/>
        <w:bidi w:val="0"/>
        <w:snapToGrid/>
        <w:spacing w:line="360" w:lineRule="auto"/>
        <w:ind w:left="630" w:leftChars="0"/>
        <w:rPr>
          <w:rFonts w:hint="eastAsia" w:ascii="宋体" w:hAnsi="宋体"/>
          <w:sz w:val="24"/>
          <w:szCs w:val="24"/>
          <w:lang w:val="en-US" w:eastAsia="zh-CN"/>
        </w:rPr>
      </w:pPr>
      <w:r>
        <w:rPr>
          <w:rFonts w:hint="eastAsia" w:ascii="宋体" w:hAnsi="宋体"/>
          <w:sz w:val="24"/>
          <w:szCs w:val="24"/>
          <w:lang w:val="en-US" w:eastAsia="zh-CN"/>
        </w:rPr>
        <w:t>（2）完成施工图后，采购人在5个工作日内向中标人支付第二期费用，为合同总额的20% 。</w:t>
      </w:r>
    </w:p>
    <w:p w14:paraId="09D43F50">
      <w:pPr>
        <w:keepNext w:val="0"/>
        <w:keepLines w:val="0"/>
        <w:pageBreakBefore w:val="0"/>
        <w:widowControl w:val="0"/>
        <w:numPr>
          <w:ilvl w:val="0"/>
          <w:numId w:val="0"/>
        </w:numPr>
        <w:kinsoku/>
        <w:wordWrap/>
        <w:overflowPunct/>
        <w:topLinePunct w:val="0"/>
        <w:bidi w:val="0"/>
        <w:snapToGrid/>
        <w:spacing w:line="360" w:lineRule="auto"/>
        <w:ind w:left="630" w:leftChars="0"/>
        <w:rPr>
          <w:rFonts w:hint="default" w:ascii="宋体" w:hAnsi="宋体"/>
          <w:sz w:val="24"/>
          <w:szCs w:val="24"/>
          <w:lang w:val="en-US" w:eastAsia="zh-CN"/>
        </w:rPr>
      </w:pPr>
      <w:r>
        <w:rPr>
          <w:rFonts w:hint="eastAsia" w:ascii="宋体" w:hAnsi="宋体"/>
          <w:sz w:val="24"/>
          <w:szCs w:val="24"/>
          <w:lang w:val="en-US" w:eastAsia="zh-CN"/>
        </w:rPr>
        <w:t>（3）完成造价清单后，采购人5个工作日内向中标人支付第三期费用，为合同总额的20%。</w:t>
      </w:r>
    </w:p>
    <w:p w14:paraId="245E7F9F">
      <w:pPr>
        <w:keepNext w:val="0"/>
        <w:keepLines w:val="0"/>
        <w:pageBreakBefore w:val="0"/>
        <w:widowControl w:val="0"/>
        <w:numPr>
          <w:ilvl w:val="0"/>
          <w:numId w:val="0"/>
        </w:numPr>
        <w:kinsoku/>
        <w:wordWrap/>
        <w:overflowPunct/>
        <w:topLinePunct w:val="0"/>
        <w:bidi w:val="0"/>
        <w:snapToGrid/>
        <w:spacing w:line="360" w:lineRule="auto"/>
        <w:ind w:left="630" w:leftChars="0"/>
        <w:rPr>
          <w:rFonts w:hint="eastAsia" w:ascii="宋体" w:hAnsi="宋体"/>
          <w:sz w:val="24"/>
          <w:szCs w:val="24"/>
          <w:lang w:val="en-US" w:eastAsia="zh-CN"/>
        </w:rPr>
      </w:pPr>
      <w:r>
        <w:rPr>
          <w:rFonts w:hint="eastAsia" w:ascii="宋体" w:hAnsi="宋体"/>
          <w:sz w:val="24"/>
          <w:szCs w:val="24"/>
          <w:lang w:val="en-US" w:eastAsia="zh-CN"/>
        </w:rPr>
        <w:t>（4）完成升级改造建设项目并移交运营方使用，采购人5个工作日向中标人支付第四期费用，为合同总额的20% 。</w:t>
      </w:r>
    </w:p>
    <w:p w14:paraId="4B216CF7">
      <w:pPr>
        <w:pStyle w:val="2"/>
        <w:keepNext w:val="0"/>
        <w:keepLines w:val="0"/>
        <w:pageBreakBefore w:val="0"/>
        <w:widowControl w:val="0"/>
        <w:kinsoku/>
        <w:wordWrap/>
        <w:overflowPunct/>
        <w:topLinePunct w:val="0"/>
        <w:bidi w:val="0"/>
        <w:snapToGrid/>
        <w:spacing w:line="360" w:lineRule="auto"/>
        <w:ind w:left="719" w:leftChars="228" w:hanging="240" w:hangingChars="100"/>
        <w:rPr>
          <w:rFonts w:hint="eastAsia" w:ascii="宋体" w:hAnsi="宋体"/>
          <w:sz w:val="24"/>
          <w:szCs w:val="24"/>
          <w:lang w:val="en-US" w:eastAsia="zh-CN"/>
        </w:rPr>
      </w:pPr>
      <w:r>
        <w:rPr>
          <w:rFonts w:hint="eastAsia" w:hAnsi="宋体"/>
          <w:sz w:val="24"/>
          <w:szCs w:val="24"/>
          <w:lang w:val="en-US" w:eastAsia="zh-CN"/>
        </w:rPr>
        <w:t xml:space="preserve">   (5)竣工验收完成图纸资料整理成册后，采购人5个工作日向中标人支付第五期费用，为合同总额的10% 。</w:t>
      </w:r>
    </w:p>
    <w:p w14:paraId="030DDD66">
      <w:pPr>
        <w:keepNext w:val="0"/>
        <w:keepLines w:val="0"/>
        <w:pageBreakBefore w:val="0"/>
        <w:widowControl w:val="0"/>
        <w:numPr>
          <w:ilvl w:val="0"/>
          <w:numId w:val="9"/>
        </w:numPr>
        <w:kinsoku/>
        <w:wordWrap/>
        <w:overflowPunct/>
        <w:topLinePunct w:val="0"/>
        <w:bidi w:val="0"/>
        <w:snapToGrid/>
        <w:spacing w:line="360" w:lineRule="auto"/>
        <w:ind w:left="845" w:leftChars="0" w:hanging="425" w:firstLineChars="0"/>
        <w:rPr>
          <w:rFonts w:hint="eastAsia" w:ascii="宋体" w:hAnsi="宋体"/>
          <w:sz w:val="24"/>
          <w:szCs w:val="24"/>
          <w:lang w:val="en-US" w:eastAsia="zh-CN"/>
        </w:rPr>
      </w:pPr>
      <w:r>
        <w:rPr>
          <w:rFonts w:hint="eastAsia" w:ascii="宋体" w:hAnsi="宋体"/>
          <w:sz w:val="24"/>
          <w:szCs w:val="24"/>
          <w:lang w:val="en-US" w:eastAsia="zh-CN"/>
        </w:rPr>
        <w:t>每期费用在中标人出具等额普通税务发票后由招标人进行支付。</w:t>
      </w:r>
    </w:p>
    <w:p w14:paraId="69953670">
      <w:pPr>
        <w:keepNext w:val="0"/>
        <w:keepLines w:val="0"/>
        <w:pageBreakBefore w:val="0"/>
        <w:widowControl w:val="0"/>
        <w:numPr>
          <w:ilvl w:val="0"/>
          <w:numId w:val="9"/>
        </w:numPr>
        <w:kinsoku/>
        <w:wordWrap/>
        <w:overflowPunct/>
        <w:topLinePunct w:val="0"/>
        <w:bidi w:val="0"/>
        <w:snapToGrid/>
        <w:spacing w:line="360" w:lineRule="auto"/>
        <w:ind w:left="845" w:leftChars="0" w:hanging="425" w:firstLineChars="0"/>
        <w:rPr>
          <w:rFonts w:hint="eastAsia" w:ascii="宋体" w:hAnsi="宋体"/>
          <w:sz w:val="24"/>
          <w:szCs w:val="24"/>
          <w:lang w:val="en-US" w:eastAsia="zh-CN"/>
        </w:rPr>
      </w:pPr>
      <w:r>
        <w:rPr>
          <w:rFonts w:hint="eastAsia" w:ascii="宋体" w:hAnsi="宋体"/>
          <w:sz w:val="24"/>
          <w:szCs w:val="24"/>
          <w:lang w:val="en-US" w:eastAsia="zh-CN"/>
        </w:rPr>
        <w:t>未评选上的单位业主方不出具答疑文件。</w:t>
      </w:r>
    </w:p>
    <w:p w14:paraId="51AC8214">
      <w:pPr>
        <w:keepNext w:val="0"/>
        <w:keepLines w:val="0"/>
        <w:pageBreakBefore w:val="0"/>
        <w:widowControl w:val="0"/>
        <w:numPr>
          <w:ilvl w:val="0"/>
          <w:numId w:val="9"/>
        </w:numPr>
        <w:kinsoku/>
        <w:wordWrap/>
        <w:overflowPunct/>
        <w:topLinePunct w:val="0"/>
        <w:bidi w:val="0"/>
        <w:snapToGrid/>
        <w:spacing w:line="360" w:lineRule="auto"/>
        <w:ind w:left="845" w:leftChars="0" w:hanging="425" w:firstLineChars="0"/>
        <w:rPr>
          <w:rFonts w:hint="eastAsia" w:ascii="宋体" w:hAnsi="宋体"/>
          <w:sz w:val="24"/>
          <w:szCs w:val="24"/>
          <w:lang w:val="en-US" w:eastAsia="zh-CN"/>
        </w:rPr>
      </w:pPr>
      <w:r>
        <w:rPr>
          <w:rFonts w:hint="eastAsia" w:ascii="宋体" w:hAnsi="宋体"/>
          <w:sz w:val="24"/>
          <w:szCs w:val="24"/>
          <w:lang w:val="en-US" w:eastAsia="zh-CN"/>
        </w:rPr>
        <w:t>对未能按时间报价的单位视同自行放弃参加本项目，我司不再发出咨询函件。</w:t>
      </w:r>
    </w:p>
    <w:p w14:paraId="1C3FD1DF">
      <w:pPr>
        <w:keepNext w:val="0"/>
        <w:keepLines w:val="0"/>
        <w:pageBreakBefore w:val="0"/>
        <w:kinsoku/>
        <w:wordWrap/>
        <w:overflowPunct/>
        <w:topLinePunct w:val="0"/>
        <w:bidi w:val="0"/>
        <w:snapToGrid/>
        <w:spacing w:line="360" w:lineRule="auto"/>
        <w:rPr>
          <w:rFonts w:asciiTheme="minorEastAsia" w:hAnsiTheme="minorEastAsia" w:eastAsiaTheme="minorEastAsia" w:cstheme="minorEastAsia"/>
          <w:sz w:val="24"/>
          <w:szCs w:val="24"/>
        </w:rPr>
      </w:pPr>
    </w:p>
    <w:p w14:paraId="2D80B040">
      <w:pPr>
        <w:pStyle w:val="12"/>
        <w:keepNext w:val="0"/>
        <w:keepLines w:val="0"/>
        <w:pageBreakBefore w:val="0"/>
        <w:kinsoku/>
        <w:wordWrap/>
        <w:overflowPunct/>
        <w:topLinePunct w:val="0"/>
        <w:bidi w:val="0"/>
        <w:snapToGrid/>
        <w:spacing w:line="360" w:lineRule="auto"/>
        <w:ind w:firstLine="0" w:firstLineChars="0"/>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五</w:t>
      </w:r>
      <w:r>
        <w:rPr>
          <w:rFonts w:hint="eastAsia" w:asciiTheme="minorEastAsia" w:hAnsiTheme="minorEastAsia" w:eastAsiaTheme="minorEastAsia" w:cstheme="minorEastAsia"/>
          <w:b/>
          <w:sz w:val="24"/>
          <w:szCs w:val="24"/>
        </w:rPr>
        <w:t>、交参选文件要求</w:t>
      </w:r>
    </w:p>
    <w:p w14:paraId="162F5658">
      <w:pPr>
        <w:pStyle w:val="12"/>
        <w:keepNext w:val="0"/>
        <w:keepLines w:val="0"/>
        <w:pageBreakBefore w:val="0"/>
        <w:numPr>
          <w:ilvl w:val="1"/>
          <w:numId w:val="10"/>
        </w:numPr>
        <w:kinsoku/>
        <w:wordWrap/>
        <w:overflowPunct/>
        <w:topLinePunct w:val="0"/>
        <w:bidi w:val="0"/>
        <w:snapToGrid/>
        <w:spacing w:line="360" w:lineRule="auto"/>
        <w:ind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参选文件包括但不限于以下资料：</w:t>
      </w:r>
    </w:p>
    <w:p w14:paraId="2733A707">
      <w:pPr>
        <w:pStyle w:val="12"/>
        <w:keepNext w:val="0"/>
        <w:keepLines w:val="0"/>
        <w:pageBreakBefore w:val="0"/>
        <w:numPr>
          <w:ilvl w:val="2"/>
          <w:numId w:val="10"/>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公司营业执照；</w:t>
      </w:r>
    </w:p>
    <w:p w14:paraId="45CAF732">
      <w:pPr>
        <w:pStyle w:val="12"/>
        <w:keepNext w:val="0"/>
        <w:keepLines w:val="0"/>
        <w:pageBreakBefore w:val="0"/>
        <w:numPr>
          <w:ilvl w:val="2"/>
          <w:numId w:val="10"/>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报价函；</w:t>
      </w:r>
    </w:p>
    <w:p w14:paraId="54BD1B9E">
      <w:pPr>
        <w:pStyle w:val="12"/>
        <w:keepNext w:val="0"/>
        <w:keepLines w:val="0"/>
        <w:pageBreakBefore w:val="0"/>
        <w:numPr>
          <w:ilvl w:val="2"/>
          <w:numId w:val="10"/>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相关资质证明材料；</w:t>
      </w:r>
    </w:p>
    <w:p w14:paraId="14E79153">
      <w:pPr>
        <w:pStyle w:val="12"/>
        <w:keepNext w:val="0"/>
        <w:keepLines w:val="0"/>
        <w:pageBreakBefore w:val="0"/>
        <w:numPr>
          <w:ilvl w:val="2"/>
          <w:numId w:val="10"/>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参选人认为其他需要提交的资料。</w:t>
      </w:r>
    </w:p>
    <w:p w14:paraId="4A349497">
      <w:pPr>
        <w:pStyle w:val="12"/>
        <w:keepNext w:val="0"/>
        <w:keepLines w:val="0"/>
        <w:pageBreakBefore w:val="0"/>
        <w:numPr>
          <w:ilvl w:val="1"/>
          <w:numId w:val="10"/>
        </w:numPr>
        <w:kinsoku/>
        <w:wordWrap/>
        <w:overflowPunct/>
        <w:topLinePunct w:val="0"/>
        <w:bidi w:val="0"/>
        <w:snapToGrid/>
        <w:spacing w:line="360" w:lineRule="auto"/>
        <w:ind w:left="845"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参选文件递交方式：</w:t>
      </w:r>
    </w:p>
    <w:p w14:paraId="08DA1C5A">
      <w:pPr>
        <w:pStyle w:val="12"/>
        <w:keepNext w:val="0"/>
        <w:keepLines w:val="0"/>
        <w:pageBreakBefore w:val="0"/>
        <w:numPr>
          <w:ilvl w:val="2"/>
          <w:numId w:val="10"/>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各参选人应于规定时间前，采取现场送交或快递等邮寄方式递交，不接收电子邮件的方式递交文件。</w:t>
      </w:r>
    </w:p>
    <w:p w14:paraId="412D30DE">
      <w:pPr>
        <w:pStyle w:val="12"/>
        <w:keepNext w:val="0"/>
        <w:keepLines w:val="0"/>
        <w:pageBreakBefore w:val="0"/>
        <w:kinsoku/>
        <w:wordWrap/>
        <w:overflowPunct/>
        <w:topLinePunct w:val="0"/>
        <w:bidi w:val="0"/>
        <w:snapToGrid/>
        <w:spacing w:line="360" w:lineRule="auto"/>
        <w:ind w:firstLine="0" w:firstLineChars="0"/>
        <w:rPr>
          <w:rFonts w:asciiTheme="minorEastAsia" w:hAnsiTheme="minorEastAsia" w:eastAsiaTheme="minorEastAsia" w:cstheme="minorEastAsia"/>
          <w:b/>
          <w:sz w:val="24"/>
          <w:szCs w:val="24"/>
        </w:rPr>
      </w:pPr>
    </w:p>
    <w:p w14:paraId="3E54DD63">
      <w:pPr>
        <w:pStyle w:val="12"/>
        <w:keepNext w:val="0"/>
        <w:keepLines w:val="0"/>
        <w:pageBreakBefore w:val="0"/>
        <w:kinsoku/>
        <w:wordWrap/>
        <w:overflowPunct/>
        <w:topLinePunct w:val="0"/>
        <w:bidi w:val="0"/>
        <w:snapToGrid/>
        <w:spacing w:line="360" w:lineRule="auto"/>
        <w:ind w:firstLine="0" w:firstLineChars="0"/>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六</w:t>
      </w:r>
      <w:r>
        <w:rPr>
          <w:rFonts w:hint="eastAsia" w:asciiTheme="minorEastAsia" w:hAnsiTheme="minorEastAsia" w:eastAsiaTheme="minorEastAsia" w:cstheme="minorEastAsia"/>
          <w:b/>
          <w:sz w:val="24"/>
          <w:szCs w:val="24"/>
        </w:rPr>
        <w:t>、报价文件构成</w:t>
      </w:r>
    </w:p>
    <w:p w14:paraId="62820109">
      <w:pPr>
        <w:keepNext w:val="0"/>
        <w:keepLines w:val="0"/>
        <w:pageBreakBefore w:val="0"/>
        <w:kinsoku/>
        <w:wordWrap/>
        <w:overflowPunct/>
        <w:topLinePunct w:val="0"/>
        <w:bidi w:val="0"/>
        <w:snapToGrid/>
        <w:spacing w:line="360" w:lineRule="auto"/>
        <w:ind w:firstLine="48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1、文件构成按以下顺序提供、编写及装订</w:t>
      </w:r>
    </w:p>
    <w:p w14:paraId="66DC9CD3">
      <w:pPr>
        <w:pStyle w:val="12"/>
        <w:keepNext w:val="0"/>
        <w:keepLines w:val="0"/>
        <w:pageBreakBefore w:val="0"/>
        <w:numPr>
          <w:ilvl w:val="0"/>
          <w:numId w:val="11"/>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《封面》</w:t>
      </w:r>
    </w:p>
    <w:p w14:paraId="15A03847">
      <w:pPr>
        <w:pStyle w:val="12"/>
        <w:keepNext w:val="0"/>
        <w:keepLines w:val="0"/>
        <w:pageBreakBefore w:val="0"/>
        <w:numPr>
          <w:ilvl w:val="0"/>
          <w:numId w:val="11"/>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《目录》</w:t>
      </w:r>
    </w:p>
    <w:p w14:paraId="01B3AF1B">
      <w:pPr>
        <w:pStyle w:val="12"/>
        <w:keepNext w:val="0"/>
        <w:keepLines w:val="0"/>
        <w:pageBreakBefore w:val="0"/>
        <w:numPr>
          <w:ilvl w:val="0"/>
          <w:numId w:val="11"/>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《法定代表人授权委托书》</w:t>
      </w:r>
    </w:p>
    <w:p w14:paraId="41A2636E">
      <w:pPr>
        <w:pStyle w:val="12"/>
        <w:keepNext w:val="0"/>
        <w:keepLines w:val="0"/>
        <w:pageBreakBefore w:val="0"/>
        <w:numPr>
          <w:ilvl w:val="0"/>
          <w:numId w:val="11"/>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《企业简介》</w:t>
      </w:r>
    </w:p>
    <w:p w14:paraId="66D51369">
      <w:pPr>
        <w:pStyle w:val="12"/>
        <w:keepNext w:val="0"/>
        <w:keepLines w:val="0"/>
        <w:pageBreakBefore w:val="0"/>
        <w:numPr>
          <w:ilvl w:val="0"/>
          <w:numId w:val="11"/>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《相关业绩》</w:t>
      </w:r>
    </w:p>
    <w:p w14:paraId="744088C8">
      <w:pPr>
        <w:pStyle w:val="12"/>
        <w:keepNext w:val="0"/>
        <w:keepLines w:val="0"/>
        <w:pageBreakBefore w:val="0"/>
        <w:numPr>
          <w:ilvl w:val="0"/>
          <w:numId w:val="11"/>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《相关资质》</w:t>
      </w:r>
    </w:p>
    <w:p w14:paraId="2EE34D8E">
      <w:pPr>
        <w:pStyle w:val="12"/>
        <w:keepNext w:val="0"/>
        <w:keepLines w:val="0"/>
        <w:pageBreakBefore w:val="0"/>
        <w:numPr>
          <w:ilvl w:val="0"/>
          <w:numId w:val="11"/>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bookmarkStart w:id="1" w:name="_Hlk70505311"/>
      <w:r>
        <w:rPr>
          <w:rFonts w:hint="eastAsia" w:asciiTheme="minorEastAsia" w:hAnsiTheme="minorEastAsia" w:eastAsiaTheme="minorEastAsia" w:cstheme="minorEastAsia"/>
          <w:sz w:val="24"/>
          <w:szCs w:val="24"/>
        </w:rPr>
        <w:t>《报价表》</w:t>
      </w:r>
      <w:bookmarkEnd w:id="1"/>
      <w:r>
        <w:rPr>
          <w:rFonts w:hint="eastAsia" w:asciiTheme="minorEastAsia" w:hAnsiTheme="minorEastAsia" w:eastAsiaTheme="minorEastAsia" w:cstheme="minorEastAsia"/>
          <w:sz w:val="24"/>
          <w:szCs w:val="24"/>
        </w:rPr>
        <w:t>（加盖公章）</w:t>
      </w:r>
    </w:p>
    <w:p w14:paraId="5E863D0E">
      <w:pPr>
        <w:keepNext w:val="0"/>
        <w:keepLines w:val="0"/>
        <w:pageBreakBefore w:val="0"/>
        <w:kinsoku/>
        <w:wordWrap/>
        <w:overflowPunct/>
        <w:topLinePunct w:val="0"/>
        <w:bidi w:val="0"/>
        <w:snapToGrid/>
        <w:spacing w:line="360" w:lineRule="auto"/>
        <w:ind w:firstLine="48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2、文件提交要求：</w:t>
      </w:r>
    </w:p>
    <w:p w14:paraId="7C96E061">
      <w:pPr>
        <w:pStyle w:val="12"/>
        <w:keepNext w:val="0"/>
        <w:keepLines w:val="0"/>
        <w:pageBreakBefore w:val="0"/>
        <w:numPr>
          <w:ilvl w:val="0"/>
          <w:numId w:val="12"/>
        </w:numPr>
        <w:kinsoku/>
        <w:wordWrap/>
        <w:overflowPunct/>
        <w:topLinePunct w:val="0"/>
        <w:bidi w:val="0"/>
        <w:snapToGrid/>
        <w:spacing w:line="360" w:lineRule="auto"/>
        <w:ind w:left="1276" w:hanging="567"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报价文件采用”微软word”软件编写，涉及报价内容采用”微软EXCL”软件编写。</w:t>
      </w:r>
    </w:p>
    <w:p w14:paraId="154B76DE">
      <w:pPr>
        <w:pStyle w:val="12"/>
        <w:keepNext w:val="0"/>
        <w:keepLines w:val="0"/>
        <w:pageBreakBefore w:val="0"/>
        <w:numPr>
          <w:ilvl w:val="0"/>
          <w:numId w:val="12"/>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报价文件需要按要求装订成册。</w:t>
      </w:r>
    </w:p>
    <w:p w14:paraId="7E7EC4B2">
      <w:pPr>
        <w:pStyle w:val="12"/>
        <w:keepNext w:val="0"/>
        <w:keepLines w:val="0"/>
        <w:pageBreakBefore w:val="0"/>
        <w:numPr>
          <w:ilvl w:val="0"/>
          <w:numId w:val="12"/>
        </w:numPr>
        <w:kinsoku/>
        <w:wordWrap/>
        <w:overflowPunct/>
        <w:topLinePunct w:val="0"/>
        <w:bidi w:val="0"/>
        <w:snapToGrid/>
        <w:spacing w:line="360" w:lineRule="auto"/>
        <w:ind w:left="709" w:firstLine="0"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以上文件数量：一份正本，两份副本</w:t>
      </w:r>
    </w:p>
    <w:p w14:paraId="1AEAE6C0">
      <w:pPr>
        <w:keepNext w:val="0"/>
        <w:keepLines w:val="0"/>
        <w:pageBreakBefore w:val="0"/>
        <w:kinsoku/>
        <w:wordWrap/>
        <w:overflowPunct/>
        <w:topLinePunct w:val="0"/>
        <w:bidi w:val="0"/>
        <w:snapToGrid/>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3、封装要求：</w:t>
      </w:r>
    </w:p>
    <w:p w14:paraId="3227AD4A">
      <w:pPr>
        <w:pStyle w:val="12"/>
        <w:keepNext w:val="0"/>
        <w:keepLines w:val="0"/>
        <w:pageBreakBefore w:val="0"/>
        <w:numPr>
          <w:ilvl w:val="0"/>
          <w:numId w:val="13"/>
        </w:numPr>
        <w:kinsoku/>
        <w:wordWrap/>
        <w:overflowPunct/>
        <w:topLinePunct w:val="0"/>
        <w:bidi w:val="0"/>
        <w:snapToGrid/>
        <w:spacing w:line="360" w:lineRule="auto"/>
        <w:ind w:hanging="191"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所有文件需要全部封装在同一个密封袋中。</w:t>
      </w:r>
    </w:p>
    <w:p w14:paraId="5E6FB0B5">
      <w:pPr>
        <w:pStyle w:val="12"/>
        <w:keepNext w:val="0"/>
        <w:keepLines w:val="0"/>
        <w:pageBreakBefore w:val="0"/>
        <w:numPr>
          <w:ilvl w:val="0"/>
          <w:numId w:val="13"/>
        </w:numPr>
        <w:kinsoku/>
        <w:wordWrap/>
        <w:overflowPunct/>
        <w:topLinePunct w:val="0"/>
        <w:bidi w:val="0"/>
        <w:snapToGrid/>
        <w:spacing w:line="360" w:lineRule="auto"/>
        <w:ind w:left="1276" w:hanging="567"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密封袋除由报价人用自制封条在每个开口处密封并加盖投标人公章并标以密封日期外，其正面须：</w:t>
      </w:r>
    </w:p>
    <w:p w14:paraId="04CDBC45">
      <w:pPr>
        <w:keepNext w:val="0"/>
        <w:keepLines w:val="0"/>
        <w:pageBreakBefore w:val="0"/>
        <w:kinsoku/>
        <w:wordWrap/>
        <w:overflowPunct/>
        <w:topLinePunct w:val="0"/>
        <w:bidi w:val="0"/>
        <w:snapToGrid/>
        <w:spacing w:line="360" w:lineRule="auto"/>
        <w:ind w:left="283" w:leftChars="135" w:firstLine="141" w:firstLineChars="5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写明投标文件递交场所的名称和地址。</w:t>
      </w:r>
    </w:p>
    <w:p w14:paraId="56563EA5">
      <w:pPr>
        <w:keepNext w:val="0"/>
        <w:keepLines w:val="0"/>
        <w:pageBreakBefore w:val="0"/>
        <w:kinsoku/>
        <w:wordWrap/>
        <w:overflowPunct/>
        <w:topLinePunct w:val="0"/>
        <w:bidi w:val="0"/>
        <w:snapToGrid/>
        <w:spacing w:line="360" w:lineRule="auto"/>
        <w:ind w:left="283" w:leftChars="135" w:firstLine="141" w:firstLineChars="59"/>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具有下列识别标志：</w:t>
      </w:r>
    </w:p>
    <w:p w14:paraId="1C0BFBE8">
      <w:pPr>
        <w:keepNext w:val="0"/>
        <w:keepLines w:val="0"/>
        <w:pageBreakBefore w:val="0"/>
        <w:kinsoku/>
        <w:wordWrap/>
        <w:overflowPunct/>
        <w:topLinePunct w:val="0"/>
        <w:bidi w:val="0"/>
        <w:snapToGrid/>
        <w:spacing w:line="360" w:lineRule="auto"/>
        <w:ind w:firstLine="240" w:firstLineChars="1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项目名称“          ” </w:t>
      </w:r>
    </w:p>
    <w:p w14:paraId="07DB2C51">
      <w:pPr>
        <w:keepNext w:val="0"/>
        <w:keepLines w:val="0"/>
        <w:pageBreakBefore w:val="0"/>
        <w:kinsoku/>
        <w:wordWrap/>
        <w:overflowPunct/>
        <w:topLinePunct w:val="0"/>
        <w:bidi w:val="0"/>
        <w:snapToGrid/>
        <w:spacing w:line="360" w:lineRule="auto"/>
        <w:ind w:firstLine="240" w:firstLineChars="1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(II)</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 xml:space="preserve">项目编号： </w:t>
      </w:r>
    </w:p>
    <w:p w14:paraId="15328CA8">
      <w:pPr>
        <w:keepNext w:val="0"/>
        <w:keepLines w:val="0"/>
        <w:pageBreakBefore w:val="0"/>
        <w:kinsoku/>
        <w:wordWrap/>
        <w:overflowPunct/>
        <w:topLinePunct w:val="0"/>
        <w:bidi w:val="0"/>
        <w:snapToGrid/>
        <w:spacing w:line="360" w:lineRule="auto"/>
        <w:ind w:firstLine="240" w:firstLineChars="1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(III)</w:t>
      </w:r>
      <w:r>
        <w:rPr>
          <w:rFonts w:hint="eastAsia" w:asciiTheme="minorEastAsia" w:hAnsiTheme="minorEastAsia" w:eastAsiaTheme="minorEastAsia" w:cstheme="minorEastAsia"/>
          <w:sz w:val="24"/>
          <w:szCs w:val="24"/>
          <w:lang w:val="en-US" w:eastAsia="zh-CN"/>
        </w:rPr>
        <w:t xml:space="preserve"> 2025</w:t>
      </w:r>
      <w:r>
        <w:rPr>
          <w:rFonts w:hint="eastAsia" w:asciiTheme="minorEastAsia" w:hAnsiTheme="minorEastAsia" w:eastAsiaTheme="minorEastAsia" w:cstheme="minorEastAsia"/>
          <w:sz w:val="24"/>
          <w:szCs w:val="24"/>
        </w:rPr>
        <w:t xml:space="preserve"> 年</w:t>
      </w:r>
      <w:r>
        <w:rPr>
          <w:rFonts w:hint="eastAsia" w:asciiTheme="minorEastAsia" w:hAnsiTheme="minorEastAsia" w:eastAsiaTheme="minorEastAsia" w:cstheme="minorEastAsia"/>
          <w:sz w:val="24"/>
          <w:szCs w:val="24"/>
          <w:lang w:val="en-US" w:eastAsia="zh-CN"/>
        </w:rPr>
        <w:t xml:space="preserve"> 1</w:t>
      </w:r>
      <w:r>
        <w:rPr>
          <w:rFonts w:hint="eastAsia" w:asciiTheme="minorEastAsia" w:hAnsiTheme="minorEastAsia" w:eastAsiaTheme="minorEastAsia" w:cstheme="minorEastAsia"/>
          <w:sz w:val="24"/>
          <w:szCs w:val="24"/>
        </w:rPr>
        <w:t xml:space="preserve"> 月</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26</w:t>
      </w:r>
      <w:r>
        <w:rPr>
          <w:rFonts w:hint="eastAsia" w:asciiTheme="minorEastAsia" w:hAnsiTheme="minorEastAsia" w:eastAsiaTheme="minorEastAsia" w:cstheme="minorEastAsia"/>
          <w:sz w:val="24"/>
          <w:szCs w:val="24"/>
        </w:rPr>
        <w:t xml:space="preserve"> 日</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 xml:space="preserve"> 时</w:t>
      </w:r>
      <w:r>
        <w:rPr>
          <w:rFonts w:hint="eastAsia" w:asciiTheme="minorEastAsia" w:hAnsiTheme="minorEastAsia" w:eastAsiaTheme="minorEastAsia" w:cstheme="minorEastAsia"/>
          <w:sz w:val="24"/>
          <w:szCs w:val="24"/>
          <w:lang w:val="en-US" w:eastAsia="zh-CN"/>
        </w:rPr>
        <w:t xml:space="preserve"> 00</w:t>
      </w:r>
      <w:r>
        <w:rPr>
          <w:rFonts w:hint="eastAsia" w:asciiTheme="minorEastAsia" w:hAnsiTheme="minorEastAsia" w:eastAsiaTheme="minorEastAsia" w:cstheme="minorEastAsia"/>
          <w:sz w:val="24"/>
          <w:szCs w:val="24"/>
        </w:rPr>
        <w:t xml:space="preserve"> 分开标，此时间之前不得开封</w:t>
      </w:r>
    </w:p>
    <w:p w14:paraId="33AB1BDA">
      <w:pPr>
        <w:keepNext w:val="0"/>
        <w:keepLines w:val="0"/>
        <w:pageBreakBefore w:val="0"/>
        <w:kinsoku/>
        <w:wordWrap/>
        <w:overflowPunct/>
        <w:topLinePunct w:val="0"/>
        <w:bidi w:val="0"/>
        <w:snapToGrid/>
        <w:spacing w:line="360" w:lineRule="auto"/>
        <w:ind w:firstLine="240" w:firstLineChars="1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(IV)</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rPr>
        <w:t>注明投标人的名称、地址、邮编及联系电话，以便迟到的投标文件能被原封退回。</w:t>
      </w:r>
    </w:p>
    <w:p w14:paraId="0E719E82">
      <w:pPr>
        <w:pStyle w:val="12"/>
        <w:keepNext w:val="0"/>
        <w:keepLines w:val="0"/>
        <w:pageBreakBefore w:val="0"/>
        <w:kinsoku/>
        <w:wordWrap/>
        <w:overflowPunct/>
        <w:topLinePunct w:val="0"/>
        <w:bidi w:val="0"/>
        <w:snapToGrid/>
        <w:spacing w:line="360" w:lineRule="auto"/>
        <w:ind w:firstLine="0" w:firstLineChars="0"/>
        <w:rPr>
          <w:rFonts w:asciiTheme="minorEastAsia" w:hAnsiTheme="minorEastAsia" w:eastAsiaTheme="minorEastAsia" w:cstheme="minorEastAsia"/>
          <w:b/>
          <w:sz w:val="24"/>
          <w:szCs w:val="24"/>
        </w:rPr>
      </w:pPr>
    </w:p>
    <w:p w14:paraId="7F6745D3">
      <w:pPr>
        <w:pStyle w:val="12"/>
        <w:keepNext w:val="0"/>
        <w:keepLines w:val="0"/>
        <w:pageBreakBefore w:val="0"/>
        <w:kinsoku/>
        <w:wordWrap/>
        <w:overflowPunct/>
        <w:topLinePunct w:val="0"/>
        <w:bidi w:val="0"/>
        <w:snapToGrid/>
        <w:spacing w:line="360" w:lineRule="auto"/>
        <w:ind w:firstLine="0" w:firstLineChars="0"/>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八、文件递交方式</w:t>
      </w:r>
    </w:p>
    <w:p w14:paraId="344A54C7">
      <w:pPr>
        <w:keepNext w:val="0"/>
        <w:keepLines w:val="0"/>
        <w:pageBreakBefore w:val="0"/>
        <w:kinsoku/>
        <w:wordWrap/>
        <w:overflowPunct/>
        <w:topLinePunct w:val="0"/>
        <w:bidi w:val="0"/>
        <w:snapToGrid/>
        <w:spacing w:line="360" w:lineRule="auto"/>
        <w:ind w:firstLine="240" w:firstLineChars="1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1、文件可通过邮寄的方式提供</w:t>
      </w:r>
    </w:p>
    <w:p w14:paraId="67122988">
      <w:pPr>
        <w:keepNext w:val="0"/>
        <w:keepLines w:val="0"/>
        <w:pageBreakBefore w:val="0"/>
        <w:kinsoku/>
        <w:wordWrap/>
        <w:overflowPunct/>
        <w:topLinePunct w:val="0"/>
        <w:bidi w:val="0"/>
        <w:snapToGrid/>
        <w:spacing w:line="360" w:lineRule="auto"/>
        <w:ind w:firstLine="240" w:firstLineChars="1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2、文件接收人：</w:t>
      </w:r>
      <w:r>
        <w:rPr>
          <w:rFonts w:hint="eastAsia" w:asciiTheme="minorEastAsia" w:hAnsiTheme="minorEastAsia" w:eastAsiaTheme="minorEastAsia" w:cstheme="minorEastAsia"/>
          <w:sz w:val="24"/>
          <w:szCs w:val="24"/>
          <w:lang w:eastAsia="zh-CN"/>
        </w:rPr>
        <w:t>叶炳新</w:t>
      </w:r>
    </w:p>
    <w:p w14:paraId="7CA4C345">
      <w:pPr>
        <w:pStyle w:val="12"/>
        <w:keepNext w:val="0"/>
        <w:keepLines w:val="0"/>
        <w:pageBreakBefore w:val="0"/>
        <w:numPr>
          <w:ilvl w:val="0"/>
          <w:numId w:val="14"/>
        </w:numPr>
        <w:kinsoku/>
        <w:wordWrap/>
        <w:overflowPunct/>
        <w:topLinePunct w:val="0"/>
        <w:bidi w:val="0"/>
        <w:snapToGrid/>
        <w:spacing w:line="360" w:lineRule="auto"/>
        <w:ind w:left="567"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单位名称：广州市演出电影有限公司</w:t>
      </w:r>
    </w:p>
    <w:p w14:paraId="2D619AF2">
      <w:pPr>
        <w:pStyle w:val="12"/>
        <w:keepNext w:val="0"/>
        <w:keepLines w:val="0"/>
        <w:pageBreakBefore w:val="0"/>
        <w:numPr>
          <w:ilvl w:val="0"/>
          <w:numId w:val="14"/>
        </w:numPr>
        <w:kinsoku/>
        <w:wordWrap/>
        <w:overflowPunct/>
        <w:topLinePunct w:val="0"/>
        <w:bidi w:val="0"/>
        <w:snapToGrid/>
        <w:spacing w:line="360" w:lineRule="auto"/>
        <w:ind w:left="567"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地址：广州市越秀区建设三马路11号新时代大厦（附楼）二楼</w:t>
      </w:r>
      <w:r>
        <w:rPr>
          <w:rFonts w:hint="eastAsia" w:asciiTheme="minorEastAsia" w:hAnsiTheme="minorEastAsia" w:eastAsiaTheme="minorEastAsia" w:cstheme="minorEastAsia"/>
          <w:sz w:val="24"/>
          <w:szCs w:val="24"/>
          <w:lang w:val="en-US" w:eastAsia="zh-CN"/>
        </w:rPr>
        <w:t>物业工程</w:t>
      </w:r>
      <w:r>
        <w:rPr>
          <w:rFonts w:hint="eastAsia" w:asciiTheme="minorEastAsia" w:hAnsiTheme="minorEastAsia" w:eastAsiaTheme="minorEastAsia" w:cstheme="minorEastAsia"/>
          <w:sz w:val="24"/>
          <w:szCs w:val="24"/>
        </w:rPr>
        <w:t>部</w:t>
      </w:r>
    </w:p>
    <w:p w14:paraId="1AF7C4A0">
      <w:pPr>
        <w:pStyle w:val="12"/>
        <w:keepNext w:val="0"/>
        <w:keepLines w:val="0"/>
        <w:pageBreakBefore w:val="0"/>
        <w:numPr>
          <w:ilvl w:val="0"/>
          <w:numId w:val="14"/>
        </w:numPr>
        <w:kinsoku/>
        <w:wordWrap/>
        <w:overflowPunct/>
        <w:topLinePunct w:val="0"/>
        <w:bidi w:val="0"/>
        <w:snapToGrid/>
        <w:spacing w:line="360" w:lineRule="auto"/>
        <w:ind w:left="567"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接收人：</w:t>
      </w:r>
      <w:r>
        <w:rPr>
          <w:rFonts w:hint="eastAsia" w:asciiTheme="minorEastAsia" w:hAnsiTheme="minorEastAsia" w:eastAsiaTheme="minorEastAsia" w:cstheme="minorEastAsia"/>
          <w:sz w:val="24"/>
          <w:szCs w:val="24"/>
          <w:lang w:val="en-US" w:eastAsia="zh-CN"/>
        </w:rPr>
        <w:t>13622261780</w:t>
      </w:r>
    </w:p>
    <w:p w14:paraId="4DD51D92">
      <w:pPr>
        <w:pStyle w:val="12"/>
        <w:keepNext w:val="0"/>
        <w:keepLines w:val="0"/>
        <w:pageBreakBefore w:val="0"/>
        <w:numPr>
          <w:ilvl w:val="0"/>
          <w:numId w:val="14"/>
        </w:numPr>
        <w:kinsoku/>
        <w:wordWrap/>
        <w:overflowPunct/>
        <w:topLinePunct w:val="0"/>
        <w:bidi w:val="0"/>
        <w:snapToGrid/>
        <w:spacing w:line="360" w:lineRule="auto"/>
        <w:ind w:left="567"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电话：020-83822108</w:t>
      </w:r>
    </w:p>
    <w:p w14:paraId="6E70D15F">
      <w:pPr>
        <w:pStyle w:val="12"/>
        <w:keepNext w:val="0"/>
        <w:keepLines w:val="0"/>
        <w:pageBreakBefore w:val="0"/>
        <w:numPr>
          <w:ilvl w:val="0"/>
          <w:numId w:val="14"/>
        </w:numPr>
        <w:kinsoku/>
        <w:wordWrap/>
        <w:overflowPunct/>
        <w:topLinePunct w:val="0"/>
        <w:bidi w:val="0"/>
        <w:snapToGrid/>
        <w:spacing w:line="360" w:lineRule="auto"/>
        <w:ind w:left="567" w:firstLineChars="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邮箱：</w:t>
      </w:r>
      <w:r>
        <w:rPr>
          <w:rFonts w:hint="eastAsia" w:asciiTheme="minorEastAsia" w:hAnsiTheme="minorEastAsia" w:eastAsiaTheme="minorEastAsia" w:cstheme="minorEastAsia"/>
          <w:sz w:val="24"/>
          <w:szCs w:val="24"/>
          <w:lang w:val="en-US" w:eastAsia="zh-CN"/>
        </w:rPr>
        <w:t>595425627@qq.com</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0B0AA">
    <w:pPr>
      <w:pStyle w:val="6"/>
      <w:jc w:val="center"/>
    </w:pPr>
    <w:r>
      <w:rPr>
        <w:lang w:val="zh-CN"/>
      </w:rPr>
      <w:t xml:space="preserve"> </w:t>
    </w:r>
    <w:r>
      <w:fldChar w:fldCharType="begin"/>
    </w:r>
    <w:r>
      <w:instrText xml:space="preserve">PAGE  \* Arabic  \* MERGEFORMAT</w:instrText>
    </w:r>
    <w:r>
      <w:fldChar w:fldCharType="separate"/>
    </w:r>
    <w:r>
      <w:rPr>
        <w:lang w:val="zh-CN"/>
      </w:rPr>
      <w:t>2</w:t>
    </w:r>
    <w:r>
      <w:fldChar w:fldCharType="end"/>
    </w:r>
    <w:r>
      <w:rPr>
        <w:lang w:val="zh-CN"/>
      </w:rPr>
      <w:t xml:space="preserve"> / </w:t>
    </w:r>
    <w:r>
      <w:fldChar w:fldCharType="begin"/>
    </w:r>
    <w:r>
      <w:instrText xml:space="preserve">NUMPAGES  \* Arabic  \* MERGEFORMAT</w:instrText>
    </w:r>
    <w:r>
      <w:fldChar w:fldCharType="separate"/>
    </w:r>
    <w:r>
      <w:rPr>
        <w:lang w:val="zh-CN"/>
      </w:rPr>
      <w:t>2</w:t>
    </w:r>
    <w:r>
      <w:rPr>
        <w:lang w:val="zh-CN"/>
      </w:rPr>
      <w:fldChar w:fldCharType="end"/>
    </w:r>
  </w:p>
  <w:p w14:paraId="7CF65E9F">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D381A">
    <w:pPr>
      <w:pStyle w:val="7"/>
      <w:jc w:val="left"/>
      <w:rPr>
        <w:rFonts w:hint="default"/>
        <w:color w:val="767171" w:themeColor="background2" w:themeShade="80"/>
        <w:lang w:val="en-US"/>
      </w:rPr>
    </w:pPr>
    <w:r>
      <w:rPr>
        <w:rFonts w:hint="eastAsia"/>
        <w:color w:val="767171" w:themeColor="background2" w:themeShade="80"/>
        <w:lang w:val="en-US" w:eastAsia="zh-CN"/>
      </w:rPr>
      <w:t>海珠大戏院升级改造设计服务项目</w:t>
    </w:r>
    <w:r>
      <w:rPr>
        <w:rFonts w:hint="eastAsia"/>
        <w:color w:val="767171" w:themeColor="background2" w:themeShade="80"/>
      </w:rPr>
      <w:t xml:space="preserve">                        </w:t>
    </w:r>
    <w:r>
      <w:rPr>
        <w:color w:val="767171" w:themeColor="background2" w:themeShade="80"/>
      </w:rPr>
      <w:tab/>
    </w:r>
    <w:r>
      <w:rPr>
        <w:rFonts w:hint="eastAsia"/>
        <w:color w:val="767171" w:themeColor="background2" w:themeShade="80"/>
      </w:rPr>
      <w:t>编号：</w:t>
    </w:r>
    <w:r>
      <w:rPr>
        <w:color w:val="767171" w:themeColor="background2" w:themeShade="80"/>
      </w:rPr>
      <w:t>YCDY</w:t>
    </w:r>
    <w:r>
      <w:rPr>
        <w:rFonts w:hint="eastAsia"/>
        <w:color w:val="767171" w:themeColor="background2" w:themeShade="80"/>
      </w:rPr>
      <w:t>-202</w:t>
    </w:r>
    <w:r>
      <w:rPr>
        <w:rFonts w:hint="eastAsia"/>
        <w:color w:val="767171" w:themeColor="background2" w:themeShade="80"/>
        <w:lang w:val="en-US" w:eastAsia="zh-CN"/>
      </w:rPr>
      <w:t>5</w:t>
    </w:r>
    <w:r>
      <w:rPr>
        <w:color w:val="767171" w:themeColor="background2" w:themeShade="80"/>
      </w:rPr>
      <w:t>0</w:t>
    </w:r>
    <w:r>
      <w:rPr>
        <w:rFonts w:hint="eastAsia"/>
        <w:color w:val="767171" w:themeColor="background2" w:themeShade="80"/>
        <w:lang w:val="en-US" w:eastAsia="zh-CN"/>
      </w:rPr>
      <w:t>117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A665E"/>
    <w:multiLevelType w:val="singleLevel"/>
    <w:tmpl w:val="9C4A665E"/>
    <w:lvl w:ilvl="0" w:tentative="0">
      <w:start w:val="1"/>
      <w:numFmt w:val="decimal"/>
      <w:suff w:val="nothing"/>
      <w:lvlText w:val="（%1）"/>
      <w:lvlJc w:val="left"/>
      <w:pPr>
        <w:ind w:left="210" w:leftChars="0" w:firstLine="0" w:firstLineChars="0"/>
      </w:pPr>
    </w:lvl>
  </w:abstractNum>
  <w:abstractNum w:abstractNumId="1">
    <w:nsid w:val="A7D298F8"/>
    <w:multiLevelType w:val="singleLevel"/>
    <w:tmpl w:val="A7D298F8"/>
    <w:lvl w:ilvl="0" w:tentative="0">
      <w:start w:val="2"/>
      <w:numFmt w:val="chineseCounting"/>
      <w:suff w:val="nothing"/>
      <w:lvlText w:val="%1、"/>
      <w:lvlJc w:val="left"/>
      <w:rPr>
        <w:rFonts w:hint="eastAsia"/>
      </w:rPr>
    </w:lvl>
  </w:abstractNum>
  <w:abstractNum w:abstractNumId="2">
    <w:nsid w:val="D7E80A89"/>
    <w:multiLevelType w:val="singleLevel"/>
    <w:tmpl w:val="D7E80A89"/>
    <w:lvl w:ilvl="0" w:tentative="0">
      <w:start w:val="1"/>
      <w:numFmt w:val="decimal"/>
      <w:suff w:val="nothing"/>
      <w:lvlText w:val="（%1）"/>
      <w:lvlJc w:val="left"/>
      <w:pPr>
        <w:ind w:left="315" w:leftChars="0" w:firstLine="0" w:firstLineChars="0"/>
      </w:pPr>
    </w:lvl>
  </w:abstractNum>
  <w:abstractNum w:abstractNumId="3">
    <w:nsid w:val="003D56FB"/>
    <w:multiLevelType w:val="multilevel"/>
    <w:tmpl w:val="003D56FB"/>
    <w:lvl w:ilvl="0" w:tentative="0">
      <w:start w:val="1"/>
      <w:numFmt w:val="decimal"/>
      <w:pStyle w:val="13"/>
      <w:lvlText w:val="%1"/>
      <w:lvlJc w:val="left"/>
      <w:pPr>
        <w:ind w:left="425" w:hanging="425"/>
      </w:pPr>
      <w:rPr>
        <w:rFonts w:hint="default"/>
      </w:rPr>
    </w:lvl>
    <w:lvl w:ilvl="1" w:tentative="0">
      <w:start w:val="1"/>
      <w:numFmt w:val="decimal"/>
      <w:lvlText w:val="%1.%2"/>
      <w:lvlJc w:val="left"/>
      <w:pPr>
        <w:ind w:left="992" w:hanging="567"/>
      </w:pPr>
      <w:rPr>
        <w:rFonts w:hint="default"/>
        <w:b w:val="0"/>
        <w:bCs w:val="0"/>
        <w:spacing w:val="0"/>
        <w:w w:val="99"/>
        <w:sz w:val="24"/>
        <w:szCs w:val="24"/>
      </w:rPr>
    </w:lvl>
    <w:lvl w:ilvl="2" w:tentative="0">
      <w:start w:val="1"/>
      <w:numFmt w:val="decimal"/>
      <w:lvlText w:val="%1.%2.%3"/>
      <w:lvlJc w:val="left"/>
      <w:pPr>
        <w:ind w:left="1418" w:hanging="567"/>
      </w:pPr>
      <w:rPr>
        <w:rFonts w:hint="default"/>
      </w:rPr>
    </w:lvl>
    <w:lvl w:ilvl="3" w:tentative="0">
      <w:start w:val="1"/>
      <w:numFmt w:val="decimal"/>
      <w:lvlText w:val="%1.%2.%3.%4"/>
      <w:lvlJc w:val="left"/>
      <w:pPr>
        <w:ind w:left="1984" w:hanging="708"/>
      </w:pPr>
      <w:rPr>
        <w:rFonts w:hint="default"/>
      </w:rPr>
    </w:lvl>
    <w:lvl w:ilvl="4" w:tentative="0">
      <w:start w:val="1"/>
      <w:numFmt w:val="decimal"/>
      <w:lvlText w:val="%1.%2.%3.%4.%5"/>
      <w:lvlJc w:val="left"/>
      <w:pPr>
        <w:ind w:left="2551" w:hanging="850"/>
      </w:pPr>
      <w:rPr>
        <w:rFonts w:hint="default"/>
      </w:rPr>
    </w:lvl>
    <w:lvl w:ilvl="5" w:tentative="0">
      <w:start w:val="1"/>
      <w:numFmt w:val="decimal"/>
      <w:lvlText w:val="%1.%2.%3.%4.%5.%6"/>
      <w:lvlJc w:val="left"/>
      <w:pPr>
        <w:ind w:left="3260" w:hanging="1134"/>
      </w:pPr>
      <w:rPr>
        <w:rFonts w:hint="default"/>
      </w:rPr>
    </w:lvl>
    <w:lvl w:ilvl="6" w:tentative="0">
      <w:start w:val="1"/>
      <w:numFmt w:val="decimal"/>
      <w:lvlText w:val="%1.%2.%3.%4.%5.%6.%7"/>
      <w:lvlJc w:val="left"/>
      <w:pPr>
        <w:ind w:left="3827" w:hanging="1276"/>
      </w:pPr>
      <w:rPr>
        <w:rFonts w:hint="default"/>
      </w:rPr>
    </w:lvl>
    <w:lvl w:ilvl="7" w:tentative="0">
      <w:start w:val="1"/>
      <w:numFmt w:val="decimal"/>
      <w:lvlText w:val="%1.%2.%3.%4.%5.%6.%7.%8"/>
      <w:lvlJc w:val="left"/>
      <w:pPr>
        <w:ind w:left="4394" w:hanging="1418"/>
      </w:pPr>
      <w:rPr>
        <w:rFonts w:hint="default"/>
      </w:rPr>
    </w:lvl>
    <w:lvl w:ilvl="8" w:tentative="0">
      <w:start w:val="1"/>
      <w:numFmt w:val="decimal"/>
      <w:lvlText w:val="%1.%2.%3.%4.%5.%6.%7.%8.%9"/>
      <w:lvlJc w:val="left"/>
      <w:pPr>
        <w:ind w:left="5102" w:hanging="1700"/>
      </w:pPr>
      <w:rPr>
        <w:rFonts w:hint="default"/>
      </w:rPr>
    </w:lvl>
  </w:abstractNum>
  <w:abstractNum w:abstractNumId="4">
    <w:nsid w:val="0FF616C5"/>
    <w:multiLevelType w:val="singleLevel"/>
    <w:tmpl w:val="0FF616C5"/>
    <w:lvl w:ilvl="0" w:tentative="0">
      <w:start w:val="1"/>
      <w:numFmt w:val="chineseCounting"/>
      <w:suff w:val="nothing"/>
      <w:lvlText w:val="（%1）"/>
      <w:lvlJc w:val="left"/>
      <w:rPr>
        <w:rFonts w:hint="eastAsia"/>
      </w:rPr>
    </w:lvl>
  </w:abstractNum>
  <w:abstractNum w:abstractNumId="5">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402916AC"/>
    <w:multiLevelType w:val="multilevel"/>
    <w:tmpl w:val="402916AC"/>
    <w:lvl w:ilvl="0" w:tentative="0">
      <w:start w:val="1"/>
      <w:numFmt w:val="decimal"/>
      <w:lvlText w:val="(%1)"/>
      <w:lvlJc w:val="left"/>
      <w:pPr>
        <w:ind w:left="900" w:hanging="420"/>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46D65817"/>
    <w:multiLevelType w:val="singleLevel"/>
    <w:tmpl w:val="46D65817"/>
    <w:lvl w:ilvl="0" w:tentative="0">
      <w:start w:val="1"/>
      <w:numFmt w:val="decimal"/>
      <w:lvlText w:val="%1."/>
      <w:lvlJc w:val="left"/>
      <w:pPr>
        <w:ind w:left="845" w:hanging="425"/>
      </w:pPr>
      <w:rPr>
        <w:rFonts w:hint="default"/>
      </w:rPr>
    </w:lvl>
  </w:abstractNum>
  <w:abstractNum w:abstractNumId="9">
    <w:nsid w:val="47F009AE"/>
    <w:multiLevelType w:val="singleLevel"/>
    <w:tmpl w:val="47F009AE"/>
    <w:lvl w:ilvl="0" w:tentative="0">
      <w:start w:val="1"/>
      <w:numFmt w:val="decimal"/>
      <w:suff w:val="nothing"/>
      <w:lvlText w:val="（%1）"/>
      <w:lvlJc w:val="left"/>
      <w:pPr>
        <w:ind w:left="315" w:leftChars="0" w:firstLine="0" w:firstLineChars="0"/>
      </w:pPr>
    </w:lvl>
  </w:abstractNum>
  <w:abstractNum w:abstractNumId="10">
    <w:nsid w:val="5280452E"/>
    <w:multiLevelType w:val="multilevel"/>
    <w:tmpl w:val="5280452E"/>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1">
    <w:nsid w:val="600F50F8"/>
    <w:multiLevelType w:val="singleLevel"/>
    <w:tmpl w:val="600F50F8"/>
    <w:lvl w:ilvl="0" w:tentative="0">
      <w:start w:val="1"/>
      <w:numFmt w:val="decimal"/>
      <w:suff w:val="nothing"/>
      <w:lvlText w:val="（%1）"/>
      <w:lvlJc w:val="left"/>
      <w:pPr>
        <w:ind w:left="315" w:leftChars="0" w:firstLine="0" w:firstLineChars="0"/>
      </w:pPr>
    </w:lvl>
  </w:abstractNum>
  <w:abstractNum w:abstractNumId="12">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13">
    <w:nsid w:val="68031311"/>
    <w:multiLevelType w:val="multilevel"/>
    <w:tmpl w:val="68031311"/>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1"/>
  </w:num>
  <w:num w:numId="3">
    <w:abstractNumId w:val="10"/>
  </w:num>
  <w:num w:numId="4">
    <w:abstractNumId w:val="2"/>
  </w:num>
  <w:num w:numId="5">
    <w:abstractNumId w:val="9"/>
  </w:num>
  <w:num w:numId="6">
    <w:abstractNumId w:val="0"/>
  </w:num>
  <w:num w:numId="7">
    <w:abstractNumId w:val="11"/>
  </w:num>
  <w:num w:numId="8">
    <w:abstractNumId w:val="4"/>
  </w:num>
  <w:num w:numId="9">
    <w:abstractNumId w:val="8"/>
  </w:num>
  <w:num w:numId="10">
    <w:abstractNumId w:val="13"/>
  </w:num>
  <w:num w:numId="11">
    <w:abstractNumId w:val="7"/>
  </w:num>
  <w:num w:numId="12">
    <w:abstractNumId w:val="6"/>
  </w:num>
  <w:num w:numId="13">
    <w:abstractNumId w:val="5"/>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5ZjEyZGU2MTQ3MjU0ODcxZjkyYmViZGMzZWNjMTQifQ=="/>
    <w:docVar w:name="KSO_WPS_MARK_KEY" w:val="171a46aa-f2d4-41c0-bc81-543d1609ad6f"/>
  </w:docVars>
  <w:rsids>
    <w:rsidRoot w:val="064B3932"/>
    <w:rsid w:val="00013AF6"/>
    <w:rsid w:val="000476A4"/>
    <w:rsid w:val="00065475"/>
    <w:rsid w:val="00122B57"/>
    <w:rsid w:val="00131A14"/>
    <w:rsid w:val="00157451"/>
    <w:rsid w:val="001810B1"/>
    <w:rsid w:val="0018702C"/>
    <w:rsid w:val="001920F8"/>
    <w:rsid w:val="001E2949"/>
    <w:rsid w:val="00217021"/>
    <w:rsid w:val="00227468"/>
    <w:rsid w:val="002E79FA"/>
    <w:rsid w:val="003029E9"/>
    <w:rsid w:val="00304596"/>
    <w:rsid w:val="00332630"/>
    <w:rsid w:val="00354BA4"/>
    <w:rsid w:val="003563A6"/>
    <w:rsid w:val="00364286"/>
    <w:rsid w:val="00370CC6"/>
    <w:rsid w:val="0037462F"/>
    <w:rsid w:val="003A3C35"/>
    <w:rsid w:val="003B0C53"/>
    <w:rsid w:val="003D746F"/>
    <w:rsid w:val="003F21B1"/>
    <w:rsid w:val="004568F9"/>
    <w:rsid w:val="004810DA"/>
    <w:rsid w:val="004E52FD"/>
    <w:rsid w:val="00513FBE"/>
    <w:rsid w:val="0051672B"/>
    <w:rsid w:val="00541F4F"/>
    <w:rsid w:val="00552B8D"/>
    <w:rsid w:val="00566AF4"/>
    <w:rsid w:val="0057060C"/>
    <w:rsid w:val="00571CFC"/>
    <w:rsid w:val="005921CB"/>
    <w:rsid w:val="00597533"/>
    <w:rsid w:val="005D47CC"/>
    <w:rsid w:val="00601F83"/>
    <w:rsid w:val="00615451"/>
    <w:rsid w:val="00627428"/>
    <w:rsid w:val="00651A24"/>
    <w:rsid w:val="00657C78"/>
    <w:rsid w:val="00680949"/>
    <w:rsid w:val="006B452D"/>
    <w:rsid w:val="006B69AA"/>
    <w:rsid w:val="006F3D77"/>
    <w:rsid w:val="007120C5"/>
    <w:rsid w:val="007235E5"/>
    <w:rsid w:val="0074197B"/>
    <w:rsid w:val="00751320"/>
    <w:rsid w:val="00762BA6"/>
    <w:rsid w:val="0077357B"/>
    <w:rsid w:val="00777455"/>
    <w:rsid w:val="007A4A39"/>
    <w:rsid w:val="007C793C"/>
    <w:rsid w:val="007F417C"/>
    <w:rsid w:val="008060DC"/>
    <w:rsid w:val="0083010A"/>
    <w:rsid w:val="0088392D"/>
    <w:rsid w:val="008C22A0"/>
    <w:rsid w:val="008C48D1"/>
    <w:rsid w:val="0092276B"/>
    <w:rsid w:val="009C4DB3"/>
    <w:rsid w:val="009C7E8F"/>
    <w:rsid w:val="009F6584"/>
    <w:rsid w:val="00A15C36"/>
    <w:rsid w:val="00A311AA"/>
    <w:rsid w:val="00A454C7"/>
    <w:rsid w:val="00A76F58"/>
    <w:rsid w:val="00A93D43"/>
    <w:rsid w:val="00A9723D"/>
    <w:rsid w:val="00AA28FB"/>
    <w:rsid w:val="00AE4B66"/>
    <w:rsid w:val="00B2046B"/>
    <w:rsid w:val="00B64CE6"/>
    <w:rsid w:val="00B70182"/>
    <w:rsid w:val="00B813E9"/>
    <w:rsid w:val="00B86B9A"/>
    <w:rsid w:val="00B93435"/>
    <w:rsid w:val="00B9434B"/>
    <w:rsid w:val="00B96A59"/>
    <w:rsid w:val="00BB33D2"/>
    <w:rsid w:val="00BF2135"/>
    <w:rsid w:val="00C069BB"/>
    <w:rsid w:val="00C11B79"/>
    <w:rsid w:val="00C437F8"/>
    <w:rsid w:val="00C76CB7"/>
    <w:rsid w:val="00CA737A"/>
    <w:rsid w:val="00CB5FDD"/>
    <w:rsid w:val="00D37B71"/>
    <w:rsid w:val="00D463E8"/>
    <w:rsid w:val="00D76FAC"/>
    <w:rsid w:val="00D77FD8"/>
    <w:rsid w:val="00DB6428"/>
    <w:rsid w:val="00DC0C80"/>
    <w:rsid w:val="00DD2629"/>
    <w:rsid w:val="00E444F4"/>
    <w:rsid w:val="00E5385A"/>
    <w:rsid w:val="00E66E20"/>
    <w:rsid w:val="00E76AB8"/>
    <w:rsid w:val="00EF0402"/>
    <w:rsid w:val="00EF39C5"/>
    <w:rsid w:val="00F91219"/>
    <w:rsid w:val="00F972AF"/>
    <w:rsid w:val="00FA6D68"/>
    <w:rsid w:val="00FB2147"/>
    <w:rsid w:val="00FC534B"/>
    <w:rsid w:val="00FE4ABD"/>
    <w:rsid w:val="04AB3A74"/>
    <w:rsid w:val="064B3932"/>
    <w:rsid w:val="06990148"/>
    <w:rsid w:val="07D52B77"/>
    <w:rsid w:val="0B0C695E"/>
    <w:rsid w:val="0B37544B"/>
    <w:rsid w:val="0B5E66F9"/>
    <w:rsid w:val="11E40046"/>
    <w:rsid w:val="124D75C3"/>
    <w:rsid w:val="12AD06B3"/>
    <w:rsid w:val="16807AF1"/>
    <w:rsid w:val="1B53742F"/>
    <w:rsid w:val="1CC65C65"/>
    <w:rsid w:val="230A5554"/>
    <w:rsid w:val="235828F3"/>
    <w:rsid w:val="24E9082D"/>
    <w:rsid w:val="2656363F"/>
    <w:rsid w:val="268F4E04"/>
    <w:rsid w:val="295E23A1"/>
    <w:rsid w:val="29EB193D"/>
    <w:rsid w:val="2A014CE0"/>
    <w:rsid w:val="2B5D55B1"/>
    <w:rsid w:val="2BA537E5"/>
    <w:rsid w:val="2CDC6DA8"/>
    <w:rsid w:val="2D7E5EDE"/>
    <w:rsid w:val="2EDB0352"/>
    <w:rsid w:val="2EE92BF9"/>
    <w:rsid w:val="2F756F26"/>
    <w:rsid w:val="37673F6F"/>
    <w:rsid w:val="38551EC1"/>
    <w:rsid w:val="3C4165AB"/>
    <w:rsid w:val="3C510C98"/>
    <w:rsid w:val="3E237E07"/>
    <w:rsid w:val="3E470969"/>
    <w:rsid w:val="3FC45FF9"/>
    <w:rsid w:val="41902DB7"/>
    <w:rsid w:val="42A76C14"/>
    <w:rsid w:val="46210C57"/>
    <w:rsid w:val="476561F7"/>
    <w:rsid w:val="4A3057A2"/>
    <w:rsid w:val="4D075F5D"/>
    <w:rsid w:val="52BD40F6"/>
    <w:rsid w:val="54731728"/>
    <w:rsid w:val="5481159F"/>
    <w:rsid w:val="57FF56B0"/>
    <w:rsid w:val="58630696"/>
    <w:rsid w:val="5DE80977"/>
    <w:rsid w:val="5E026AFF"/>
    <w:rsid w:val="6354390F"/>
    <w:rsid w:val="697946B2"/>
    <w:rsid w:val="6CA3224D"/>
    <w:rsid w:val="76E95824"/>
    <w:rsid w:val="78F543CA"/>
    <w:rsid w:val="7AED234A"/>
    <w:rsid w:val="7D597A11"/>
    <w:rsid w:val="7F15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utoSpaceDE w:val="0"/>
      <w:autoSpaceDN w:val="0"/>
      <w:adjustRightInd w:val="0"/>
      <w:ind w:firstLine="420"/>
      <w:jc w:val="left"/>
      <w:textAlignment w:val="baseline"/>
    </w:pPr>
    <w:rPr>
      <w:rFonts w:ascii="宋体"/>
      <w:sz w:val="34"/>
    </w:rPr>
  </w:style>
  <w:style w:type="paragraph" w:styleId="4">
    <w:name w:val="Body Text"/>
    <w:basedOn w:val="1"/>
    <w:qFormat/>
    <w:uiPriority w:val="1"/>
    <w:pPr>
      <w:autoSpaceDE w:val="0"/>
      <w:autoSpaceDN w:val="0"/>
      <w:jc w:val="left"/>
    </w:pPr>
    <w:rPr>
      <w:rFonts w:ascii="宋体" w:hAnsi="宋体" w:cs="宋体"/>
      <w:kern w:val="0"/>
      <w:sz w:val="24"/>
      <w:szCs w:val="24"/>
      <w:lang w:eastAsia="en-US"/>
    </w:rPr>
  </w:style>
  <w:style w:type="paragraph" w:styleId="5">
    <w:name w:val="Date"/>
    <w:basedOn w:val="1"/>
    <w:next w:val="1"/>
    <w:link w:val="16"/>
    <w:qFormat/>
    <w:uiPriority w:val="0"/>
    <w:pPr>
      <w:ind w:left="100" w:leftChars="2500"/>
    </w:p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34"/>
    <w:pPr>
      <w:ind w:firstLine="420" w:firstLineChars="200"/>
    </w:pPr>
  </w:style>
  <w:style w:type="paragraph" w:customStyle="1" w:styleId="13">
    <w:name w:val="title001.1"/>
    <w:qFormat/>
    <w:uiPriority w:val="0"/>
    <w:pPr>
      <w:numPr>
        <w:ilvl w:val="0"/>
        <w:numId w:val="1"/>
      </w:numPr>
      <w:spacing w:before="50" w:beforeLines="50" w:line="360" w:lineRule="auto"/>
      <w:ind w:right="100" w:rightChars="100"/>
      <w:outlineLvl w:val="1"/>
    </w:pPr>
    <w:rPr>
      <w:rFonts w:eastAsia="宋体" w:asciiTheme="minorHAnsi" w:hAnsiTheme="minorHAnsi" w:cstheme="minorBidi"/>
      <w:b/>
      <w:bCs/>
      <w:kern w:val="2"/>
      <w:sz w:val="21"/>
      <w:szCs w:val="22"/>
      <w:lang w:val="en-US" w:eastAsia="zh-CN" w:bidi="ar-SA"/>
    </w:rPr>
  </w:style>
  <w:style w:type="character" w:customStyle="1" w:styleId="14">
    <w:name w:val="页眉 字符"/>
    <w:basedOn w:val="9"/>
    <w:link w:val="7"/>
    <w:qFormat/>
    <w:uiPriority w:val="0"/>
    <w:rPr>
      <w:rFonts w:eastAsia="宋体"/>
      <w:kern w:val="2"/>
      <w:sz w:val="18"/>
      <w:szCs w:val="18"/>
    </w:rPr>
  </w:style>
  <w:style w:type="character" w:customStyle="1" w:styleId="15">
    <w:name w:val="页脚 字符"/>
    <w:basedOn w:val="9"/>
    <w:link w:val="6"/>
    <w:qFormat/>
    <w:uiPriority w:val="99"/>
    <w:rPr>
      <w:rFonts w:eastAsia="宋体"/>
      <w:kern w:val="2"/>
      <w:sz w:val="18"/>
      <w:szCs w:val="18"/>
    </w:rPr>
  </w:style>
  <w:style w:type="character" w:customStyle="1" w:styleId="16">
    <w:name w:val="日期 字符"/>
    <w:basedOn w:val="9"/>
    <w:link w:val="5"/>
    <w:qFormat/>
    <w:uiPriority w:val="0"/>
    <w:rPr>
      <w:rFonts w:eastAsia="宋体"/>
      <w:kern w:val="2"/>
      <w:sz w:val="21"/>
      <w:szCs w:val="22"/>
    </w:rPr>
  </w:style>
  <w:style w:type="character" w:customStyle="1" w:styleId="17">
    <w:name w:val="font01"/>
    <w:basedOn w:val="9"/>
    <w:qFormat/>
    <w:uiPriority w:val="0"/>
    <w:rPr>
      <w:rFonts w:hint="eastAsia" w:ascii="等线" w:hAnsi="等线" w:eastAsia="等线"/>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5253</Words>
  <Characters>5683</Characters>
  <Lines>21</Lines>
  <Paragraphs>6</Paragraphs>
  <TotalTime>55</TotalTime>
  <ScaleCrop>false</ScaleCrop>
  <LinksUpToDate>false</LinksUpToDate>
  <CharactersWithSpaces>5791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2023-03-22T02:26:00Z</dcterms:created>
  <dc:creator>Administrator</dc:creator>
  <cp:lastModifiedBy>harry</cp:lastModifiedBy>
  <dcterms:modified xsi:type="dcterms:W3CDTF">2025-01-17T13:36:45Z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9575F45221E54057A85451707CE6385D_13</vt:lpwstr>
  </property>
  <property fmtid="{D5CDD505-2E9C-101B-9397-08002B2CF9AE}" pid="4" name="KSOTemplateDocerSaveRecord">
    <vt:lpwstr>eyJoZGlkIjoiZDhkYjgyOGI1MzhmMmRkZmIyNzdkZWZlZmU3MmFkNTIiLCJ1c2VySWQiOiIyMzg2MTY4NzYifQ==</vt:lpwstr>
  </property>
</Properties>
</file>